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Calibri" w:cstheme="minorHAnsi"/>
          <w:i/>
          <w:i/>
          <w:iCs/>
          <w:kern w:val="0"/>
          <w14:ligatures w14:val="none"/>
        </w:rPr>
      </w:pPr>
      <w:r>
        <w:rPr>
          <w:rFonts w:cs="Calibri" w:cstheme="minorHAnsi"/>
          <w:kern w:val="0"/>
          <w14:ligatures w14:val="none"/>
        </w:rPr>
        <w:t>La Communauté d’Agglomération Melun Val-de-Seine, près de 139 000 habitants, est un territoire en plein développement porté par un volontarisme politique qui a permis de renforcer son positionnement sur le territoire Francilien. A 25mn en train de la gare de Lyon depuis Melun (également desservie par le RER D), idéalement située entre le Grand Paris et la forêt de Fontainebleau, reconnue réserve de biosphère par l’UNESCO, la Communauté d’agglomération de Melun Val de Seine offre une diversité de cadres de vie, urbains ou ruraux. Sa vie culturelle, ses clubs sportifs, ses paysages des bords de Seine, son dynamisme associatif et économique, son pôle universitaire de 5400 étudiants, la politique de développement des compétences des agents communautaires, sont autant d’atouts pour y conjuguer qualité de vie et réussite.</w:t>
      </w:r>
    </w:p>
    <w:p>
      <w:pPr>
        <w:pStyle w:val="Normal"/>
        <w:jc w:val="both"/>
        <w:rPr>
          <w:rFonts w:cs="Calibri" w:cstheme="minorHAnsi"/>
          <w:b/>
          <w:b/>
          <w:bCs/>
          <w:kern w:val="0"/>
          <w14:ligatures w14:val="none"/>
        </w:rPr>
      </w:pPr>
      <w:r>
        <w:rPr>
          <w:rFonts w:cs="Calibri" w:cstheme="minorHAnsi"/>
          <w:b/>
          <w:bCs/>
          <w:kern w:val="0"/>
          <w14:ligatures w14:val="none"/>
        </w:rPr>
        <w:t xml:space="preserve">Vous souhaitez contribuer aux changements structurants </w:t>
      </w:r>
      <w:r>
        <w:rPr>
          <w:rFonts w:cs="Calibri" w:cstheme="minorHAnsi"/>
          <w:b/>
          <w:bCs/>
          <w:kern w:val="0"/>
          <w:lang w:eastAsia="fr-FR"/>
          <w14:ligatures w14:val="none"/>
        </w:rPr>
        <w:t xml:space="preserve">du </w:t>
      </w:r>
      <w:r>
        <w:rPr>
          <w:rFonts w:cs="Calibri" w:cstheme="minorHAnsi"/>
          <w:b/>
          <w:bCs/>
          <w:kern w:val="0"/>
          <w14:ligatures w14:val="none"/>
        </w:rPr>
        <w:t>projet de territoire « Ambition 2030 » et prendre part à la Transition Ecologique, alors rejoignez-nous !</w:t>
      </w:r>
    </w:p>
    <w:p>
      <w:pPr>
        <w:pStyle w:val="Corpsdetexte"/>
        <w:jc w:val="left"/>
        <w:rPr>
          <w:rFonts w:ascii="Calibri" w:hAnsi="Calibri" w:cs="Calibri" w:asciiTheme="minorHAnsi" w:cstheme="minorHAnsi" w:hAnsiTheme="minorHAnsi"/>
          <w:color w:val="auto"/>
          <w:sz w:val="22"/>
          <w:szCs w:val="22"/>
        </w:rPr>
      </w:pPr>
      <w:r>
        <w:rPr>
          <w:rStyle w:val="Accentuationforte"/>
          <w:rFonts w:cs="Calibri" w:cstheme="minorHAnsi"/>
          <w:color w:val="auto"/>
          <w:sz w:val="22"/>
          <w:szCs w:val="22"/>
        </w:rPr>
        <w:t>Contexte</w:t>
      </w:r>
      <w:r>
        <w:rPr>
          <w:rFonts w:cs="Calibri" w:cstheme="minorHAnsi"/>
          <w:color w:val="auto"/>
          <w:sz w:val="22"/>
          <w:szCs w:val="22"/>
        </w:rPr>
        <w:br/>
        <w:t>Le service de l’Environnement assure les missions relatives aux réseaux d’eau et d’assainissement (pilotage des DSP, travaux de renouvellement et de sécurisation, élaboration des schémas directeurs), à la gestion des déchets ainsi qu’à la GEMAPI.</w:t>
        <w:br/>
        <w:t xml:space="preserve">Il dispose d’un réseau de </w:t>
      </w:r>
      <w:r>
        <w:rPr>
          <w:rStyle w:val="Accentuationforte"/>
          <w:rFonts w:cs="Calibri" w:cstheme="minorHAnsi"/>
          <w:color w:val="auto"/>
          <w:sz w:val="22"/>
          <w:szCs w:val="22"/>
        </w:rPr>
        <w:t>590 km de canalisations d’assainissement</w:t>
      </w:r>
      <w:r>
        <w:rPr>
          <w:rFonts w:cs="Calibri" w:cstheme="minorHAnsi"/>
          <w:color w:val="auto"/>
          <w:sz w:val="22"/>
          <w:szCs w:val="22"/>
        </w:rPr>
        <w:t xml:space="preserve">, de </w:t>
      </w:r>
      <w:r>
        <w:rPr>
          <w:rStyle w:val="Accentuationforte"/>
          <w:rFonts w:cs="Calibri" w:cstheme="minorHAnsi"/>
          <w:color w:val="auto"/>
          <w:sz w:val="22"/>
          <w:szCs w:val="22"/>
        </w:rPr>
        <w:t>8 stations d’épuration</w:t>
      </w:r>
      <w:r>
        <w:rPr>
          <w:rFonts w:cs="Calibri" w:cstheme="minorHAnsi"/>
          <w:color w:val="auto"/>
          <w:sz w:val="22"/>
          <w:szCs w:val="22"/>
        </w:rPr>
        <w:t xml:space="preserve">, de </w:t>
      </w:r>
      <w:r>
        <w:rPr>
          <w:rStyle w:val="Accentuationforte"/>
          <w:rFonts w:cs="Calibri" w:cstheme="minorHAnsi"/>
          <w:color w:val="auto"/>
          <w:sz w:val="22"/>
          <w:szCs w:val="22"/>
        </w:rPr>
        <w:t>610 km de canalisations d’eau potable</w:t>
      </w:r>
      <w:r>
        <w:rPr>
          <w:rFonts w:cs="Calibri" w:cstheme="minorHAnsi"/>
          <w:color w:val="auto"/>
          <w:sz w:val="22"/>
          <w:szCs w:val="22"/>
        </w:rPr>
        <w:t xml:space="preserve"> et de </w:t>
      </w:r>
      <w:r>
        <w:rPr>
          <w:rStyle w:val="Accentuationforte"/>
          <w:rFonts w:cs="Calibri" w:cstheme="minorHAnsi"/>
          <w:color w:val="auto"/>
          <w:sz w:val="22"/>
          <w:szCs w:val="22"/>
        </w:rPr>
        <w:t>19 ouvrages de production</w:t>
      </w:r>
      <w:r>
        <w:rPr>
          <w:rFonts w:cs="Calibri" w:cstheme="minorHAnsi"/>
          <w:color w:val="auto"/>
          <w:sz w:val="22"/>
          <w:szCs w:val="22"/>
        </w:rPr>
        <w:t>.</w:t>
        <w:br/>
        <w:t>Le service est également en charge du pilotage des différents marchés publics, du suivi des travaux (115 M€), de la maîtrise d’œuvre et de la coordination des intervenants extérieurs, dans le cadre des fonctions de maître d’ouvrage.</w:t>
      </w:r>
    </w:p>
    <w:p>
      <w:pPr>
        <w:pStyle w:val="Corpsdetexte"/>
        <w:rPr>
          <w:rFonts w:ascii="Calibri" w:hAnsi="Calibri" w:cs="Calibri" w:asciiTheme="minorHAnsi" w:cstheme="minorHAnsi" w:hAnsiTheme="minorHAnsi"/>
          <w:color w:val="auto"/>
          <w:sz w:val="22"/>
          <w:szCs w:val="22"/>
        </w:rPr>
      </w:pPr>
      <w:r>
        <w:rPr/>
        <w:t xml:space="preserve">La Communauté d’Agglomération recrute </w:t>
      </w:r>
    </w:p>
    <w:p>
      <w:pPr>
        <w:pStyle w:val="Default"/>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
        <w:rPr/>
      </w:pPr>
      <w:r>
        <w:rPr>
          <w:b/>
          <w:bCs/>
          <w:sz w:val="36"/>
          <w:szCs w:val="36"/>
        </w:rPr>
        <w:t>Un ou Une Technicien(ne) exploitation et urbanisme (h/f)</w:t>
      </w:r>
      <w:r>
        <w:rPr/>
        <w:br/>
        <w:t>Catégorie B – filière technique</w:t>
      </w:r>
    </w:p>
    <w:p>
      <w:pPr>
        <w:pStyle w:val="Corpsdetexte"/>
        <w:suppressAutoHyphens w:val="false"/>
        <w:jc w:val="both"/>
        <w:rPr/>
      </w:pPr>
      <w:r>
        <w:rPr>
          <w:rStyle w:val="Accentuationforte"/>
          <w:rFonts w:eastAsia="Times New Roman" w:cs="Times New Roman"/>
          <w:b w:val="false"/>
          <w:bCs w:val="false"/>
          <w:szCs w:val="24"/>
          <w:lang w:eastAsia="fr-FR"/>
        </w:rPr>
        <w:t>Rattaché(e) au Responsable du service environnement, vos missions s’organisent autour des domaines suivants :</w:t>
      </w:r>
    </w:p>
    <w:p>
      <w:pPr>
        <w:pStyle w:val="Corpsdetexte"/>
        <w:numPr>
          <w:ilvl w:val="0"/>
          <w:numId w:val="3"/>
        </w:numPr>
        <w:tabs>
          <w:tab w:val="clear" w:pos="709"/>
          <w:tab w:val="left" w:pos="0" w:leader="none"/>
        </w:tabs>
        <w:spacing w:before="0" w:after="0"/>
        <w:rPr>
          <w:b/>
          <w:b/>
          <w:bCs/>
        </w:rPr>
      </w:pPr>
      <w:r>
        <w:rPr>
          <w:rStyle w:val="Accentuationforte"/>
        </w:rPr>
        <w:t>Relation aux usagers</w:t>
      </w:r>
      <w:r>
        <w:rPr/>
        <w:t xml:space="preserve"> : gestion des sollicitations, suivi des contentieux, assistance et conseil.</w:t>
      </w:r>
    </w:p>
    <w:p>
      <w:pPr>
        <w:pStyle w:val="Corpsdetexte"/>
        <w:numPr>
          <w:ilvl w:val="0"/>
          <w:numId w:val="3"/>
        </w:numPr>
        <w:tabs>
          <w:tab w:val="clear" w:pos="709"/>
          <w:tab w:val="left" w:pos="0" w:leader="none"/>
        </w:tabs>
        <w:spacing w:before="0" w:after="0"/>
        <w:rPr/>
      </w:pPr>
      <w:r>
        <w:rPr>
          <w:rStyle w:val="Accentuationforte"/>
        </w:rPr>
        <w:t>Gestion et exploitation des réseaux</w:t>
      </w:r>
      <w:r>
        <w:rPr/>
        <w:t xml:space="preserve"> : suivi SPANC, interventions, dératisation, usagers non domestiques, urgences.</w:t>
      </w:r>
    </w:p>
    <w:p>
      <w:pPr>
        <w:pStyle w:val="Corpsdetexte"/>
        <w:numPr>
          <w:ilvl w:val="0"/>
          <w:numId w:val="3"/>
        </w:numPr>
        <w:tabs>
          <w:tab w:val="clear" w:pos="709"/>
          <w:tab w:val="left" w:pos="0" w:leader="none"/>
        </w:tabs>
        <w:spacing w:before="0" w:after="0"/>
        <w:rPr/>
      </w:pPr>
      <w:r>
        <w:rPr>
          <w:rStyle w:val="Accentuationforte"/>
        </w:rPr>
        <w:t>Indicateurs &amp; outils</w:t>
      </w:r>
      <w:r>
        <w:rPr/>
        <w:t xml:space="preserve"> : suivi des indicateurs, prescriptions techniques, rapports, bilans annuels, RPQS.</w:t>
      </w:r>
    </w:p>
    <w:p>
      <w:pPr>
        <w:pStyle w:val="Corpsdetexte"/>
        <w:numPr>
          <w:ilvl w:val="0"/>
          <w:numId w:val="3"/>
        </w:numPr>
        <w:tabs>
          <w:tab w:val="clear" w:pos="709"/>
          <w:tab w:val="left" w:pos="0" w:leader="none"/>
        </w:tabs>
        <w:spacing w:before="0" w:after="0"/>
        <w:rPr/>
      </w:pPr>
      <w:r>
        <w:rPr>
          <w:rStyle w:val="Accentuationforte"/>
        </w:rPr>
        <w:t>Urbanisme</w:t>
      </w:r>
      <w:r>
        <w:rPr/>
        <w:t xml:space="preserve"> : instruction des dossiers (CU, PC, PLU, etc.), études d’impact hydraulique, prescriptions, avis de raccordement et conformité, mise à jour cartographique.</w:t>
      </w:r>
    </w:p>
    <w:p>
      <w:pPr>
        <w:pStyle w:val="Corpsdetexte"/>
        <w:numPr>
          <w:ilvl w:val="0"/>
          <w:numId w:val="3"/>
        </w:numPr>
        <w:tabs>
          <w:tab w:val="clear" w:pos="709"/>
          <w:tab w:val="left" w:pos="0" w:leader="none"/>
        </w:tabs>
        <w:spacing w:before="0" w:after="0"/>
        <w:rPr/>
      </w:pPr>
      <w:r>
        <w:rPr>
          <w:rStyle w:val="Accentuationforte"/>
        </w:rPr>
        <w:t>Patrimoine et servitudes</w:t>
      </w:r>
      <w:r>
        <w:rPr/>
        <w:t xml:space="preserve"> : instruction des dossiers de rétrocession, mise à jour des servitudes.</w:t>
      </w:r>
    </w:p>
    <w:p>
      <w:pPr>
        <w:pStyle w:val="Corpsdetexte"/>
        <w:numPr>
          <w:ilvl w:val="0"/>
          <w:numId w:val="3"/>
        </w:numPr>
        <w:tabs>
          <w:tab w:val="clear" w:pos="709"/>
          <w:tab w:val="left" w:pos="0" w:leader="none"/>
        </w:tabs>
        <w:spacing w:before="0" w:after="0"/>
        <w:rPr>
          <w:b/>
          <w:b/>
          <w:bCs/>
        </w:rPr>
      </w:pPr>
      <w:r>
        <w:rPr>
          <w:rStyle w:val="Accentuationforte"/>
        </w:rPr>
        <w:t>Veille &amp; transversalité</w:t>
      </w:r>
      <w:r>
        <w:rPr/>
        <w:t xml:space="preserve"> : veille technique et réglementaire, participation aux projets des autres pôles/services.</w:t>
      </w:r>
    </w:p>
    <w:p>
      <w:pPr>
        <w:pStyle w:val="ListParagraph"/>
        <w:suppressAutoHyphens w:val="false"/>
        <w:jc w:val="both"/>
        <w:rPr>
          <w:b/>
          <w:b/>
          <w:bCs/>
        </w:rPr>
      </w:pPr>
      <w:r>
        <w:rPr>
          <w:b/>
          <w:bCs/>
        </w:rPr>
      </w:r>
    </w:p>
    <w:p>
      <w:pPr>
        <w:pStyle w:val="Corpsdetexte"/>
        <w:numPr>
          <w:ilvl w:val="0"/>
          <w:numId w:val="1"/>
        </w:numPr>
        <w:rPr/>
      </w:pPr>
      <w:r>
        <w:rPr>
          <w:b/>
          <w:bCs/>
        </w:rPr>
        <w:t>Profil recherché :</w:t>
      </w:r>
    </w:p>
    <w:p>
      <w:pPr>
        <w:pStyle w:val="Corpsdetexte"/>
        <w:spacing w:before="0" w:after="26"/>
        <w:jc w:val="both"/>
        <w:rPr/>
      </w:pPr>
      <w:r>
        <w:rPr/>
        <w:t>Fort(e) d'une expérience de deux ans sur un poste similaire, vous êtes titulaire d’un diplôme bac + 2 dans le domaine des métiers de l’eau, GEMEAU ou de l’urbanisme.</w:t>
      </w:r>
    </w:p>
    <w:p>
      <w:pPr>
        <w:pStyle w:val="Corpsdetexte"/>
        <w:spacing w:before="0" w:after="26"/>
        <w:jc w:val="both"/>
        <w:rPr/>
      </w:pPr>
      <w:r>
        <w:rPr/>
        <w:t xml:space="preserve">Vous maîtrisez </w:t>
      </w:r>
      <w:r>
        <w:rPr>
          <w:rFonts w:cs="Arial"/>
          <w:kern w:val="0"/>
        </w:rPr>
        <w:t>la réglementation et les normes applicables à l’eau potable et l’assainissement, le droit de l’urbanisme et les procédures relatives au droit des sols</w:t>
      </w:r>
      <w:r>
        <w:rPr/>
        <w:t>.</w:t>
      </w:r>
    </w:p>
    <w:p>
      <w:pPr>
        <w:pStyle w:val="Corpsdetexte"/>
        <w:spacing w:before="0" w:after="26"/>
        <w:jc w:val="both"/>
        <w:rPr/>
      </w:pPr>
      <w:r>
        <w:rPr/>
        <w:t xml:space="preserve">Autonome, réactif(ive), organisé(e), rigoureux(se), force de proposition, vous savez négocier, analyser, rédiger et piloter des projets. Vous êtes capable d'animer des réunions, de prendre des initiatives et de travailler en transversalité. </w:t>
      </w:r>
    </w:p>
    <w:p>
      <w:pPr>
        <w:pStyle w:val="Corpsdetexte"/>
        <w:jc w:val="both"/>
        <w:rPr/>
      </w:pPr>
      <w:r>
        <w:rPr>
          <w:b/>
          <w:bCs/>
        </w:rPr>
        <w:t>Particularité du poste</w:t>
      </w:r>
      <w:r>
        <w:rPr/>
        <w:t> : permis B obligatoire.</w:t>
      </w:r>
    </w:p>
    <w:p>
      <w:pPr>
        <w:pStyle w:val="Corpsdetexte"/>
        <w:jc w:val="both"/>
        <w:rPr/>
      </w:pPr>
      <w:r>
        <w:rPr/>
      </w:r>
    </w:p>
    <w:p>
      <w:pPr>
        <w:pStyle w:val="Corpsdetexte"/>
        <w:numPr>
          <w:ilvl w:val="0"/>
          <w:numId w:val="1"/>
        </w:numPr>
        <w:rPr/>
      </w:pPr>
      <w:r>
        <w:rPr>
          <w:b/>
          <w:bCs/>
        </w:rPr>
        <w:t>Vous bénéficierez :</w:t>
      </w:r>
    </w:p>
    <w:p>
      <w:pPr>
        <w:pStyle w:val="Normal"/>
        <w:numPr>
          <w:ilvl w:val="0"/>
          <w:numId w:val="2"/>
        </w:numPr>
        <w:shd w:val="clear" w:color="auto" w:fill="FFFFFF"/>
        <w:suppressAutoHyphens w:val="false"/>
        <w:spacing w:lineRule="auto" w:line="240" w:before="0" w:after="0"/>
        <w:ind w:left="1134" w:hanging="360"/>
        <w:textAlignment w:val="baseline"/>
        <w:rPr>
          <w:rFonts w:ascii="Calibri" w:hAnsi="Calibri" w:eastAsia="Times New Roman" w:cs="Calibri"/>
          <w:color w:val="000000"/>
          <w:kern w:val="0"/>
          <w:lang w:eastAsia="fr-FR"/>
          <w14:ligatures w14:val="none"/>
        </w:rPr>
      </w:pPr>
      <w:r>
        <w:rPr/>
        <w:t>sur la base de 38 h 45 hebdomadaires de 25 jours de congés annuels et de 21 jours de RTT,</w:t>
      </w:r>
    </w:p>
    <w:p>
      <w:pPr>
        <w:pStyle w:val="Normal"/>
        <w:numPr>
          <w:ilvl w:val="0"/>
          <w:numId w:val="2"/>
        </w:numPr>
        <w:shd w:val="clear" w:color="auto" w:fill="FFFFFF"/>
        <w:suppressAutoHyphens w:val="false"/>
        <w:spacing w:lineRule="auto" w:line="240" w:before="0" w:after="0"/>
        <w:ind w:left="1134" w:hanging="360"/>
        <w:textAlignment w:val="baseline"/>
        <w:rPr>
          <w:rFonts w:ascii="Calibri" w:hAnsi="Calibri" w:eastAsia="Times New Roman" w:cs="Calibri"/>
          <w:color w:val="000000"/>
          <w:kern w:val="0"/>
          <w:lang w:eastAsia="fr-FR"/>
          <w14:ligatures w14:val="none"/>
        </w:rPr>
      </w:pPr>
      <w:r>
        <w:rPr>
          <w:rFonts w:eastAsia="Times New Roman" w:cs="Calibri"/>
          <w:color w:val="000000"/>
          <w:kern w:val="0"/>
          <w:lang w:eastAsia="fr-FR"/>
          <w14:ligatures w14:val="none"/>
        </w:rPr>
        <w:t>de titres restaurant d'une valeur unitaire de 10 € (4 € prélevés sur votre salaire en fonction des jours travaillés),</w:t>
      </w:r>
    </w:p>
    <w:p>
      <w:pPr>
        <w:pStyle w:val="Normal"/>
        <w:numPr>
          <w:ilvl w:val="0"/>
          <w:numId w:val="2"/>
        </w:numPr>
        <w:shd w:val="clear" w:color="auto" w:fill="FFFFFF"/>
        <w:suppressAutoHyphens w:val="false"/>
        <w:spacing w:lineRule="auto" w:line="240" w:before="0" w:after="0"/>
        <w:ind w:left="1134" w:hanging="360"/>
        <w:rPr>
          <w:rFonts w:ascii="Calibri" w:hAnsi="Calibri" w:eastAsia="Times New Roman" w:cs="Calibri"/>
          <w:color w:val="000000"/>
          <w:kern w:val="0"/>
          <w:lang w:eastAsia="fr-FR"/>
          <w14:ligatures w14:val="none"/>
        </w:rPr>
      </w:pPr>
      <w:r>
        <w:rPr>
          <w:rFonts w:eastAsia="Times New Roman" w:cs="Calibri"/>
          <w:color w:val="000000"/>
          <w:kern w:val="0"/>
          <w:lang w:eastAsia="fr-FR"/>
          <w14:ligatures w14:val="none"/>
        </w:rPr>
        <w:t>des prestations du Comité National d'Action Sociale (CNAS),</w:t>
      </w:r>
    </w:p>
    <w:p>
      <w:pPr>
        <w:pStyle w:val="ListParagraph"/>
        <w:numPr>
          <w:ilvl w:val="0"/>
          <w:numId w:val="2"/>
        </w:numPr>
        <w:shd w:val="clear" w:color="auto" w:fill="FFFFFF"/>
        <w:suppressAutoHyphens w:val="false"/>
        <w:spacing w:lineRule="auto" w:line="240" w:before="0" w:after="0"/>
        <w:ind w:left="1134" w:hanging="360"/>
        <w:contextualSpacing/>
        <w:textAlignment w:val="baseline"/>
        <w:rPr>
          <w:rFonts w:ascii="Calibri" w:hAnsi="Calibri" w:eastAsia="Times New Roman" w:cs="Calibri"/>
          <w:color w:val="000000"/>
          <w:kern w:val="0"/>
          <w:lang w:eastAsia="fr-FR"/>
          <w14:ligatures w14:val="none"/>
        </w:rPr>
      </w:pPr>
      <w:r>
        <w:rPr>
          <w:rFonts w:eastAsia="Times New Roman" w:cs="Calibri"/>
          <w:color w:val="000000"/>
          <w:kern w:val="0"/>
          <w:lang w:eastAsia="fr-FR"/>
          <w14:ligatures w14:val="none"/>
        </w:rPr>
        <w:t>la possibilité d’adhérer à l'amicale du personnel communautaire (Association loi 1901) moyennant une adhésion annuelle de 30 €,</w:t>
      </w:r>
    </w:p>
    <w:p>
      <w:pPr>
        <w:pStyle w:val="Normal"/>
        <w:numPr>
          <w:ilvl w:val="0"/>
          <w:numId w:val="2"/>
        </w:numPr>
        <w:shd w:val="clear" w:color="auto" w:fill="FFFFFF"/>
        <w:suppressAutoHyphens w:val="false"/>
        <w:spacing w:lineRule="auto" w:line="240" w:before="0" w:after="0"/>
        <w:ind w:left="1134" w:hanging="360"/>
        <w:textAlignment w:val="baseline"/>
        <w:rPr>
          <w:rFonts w:ascii="Calibri" w:hAnsi="Calibri" w:eastAsia="Times New Roman" w:cs="Calibri"/>
          <w:color w:val="000000"/>
          <w:kern w:val="0"/>
          <w:lang w:eastAsia="fr-FR"/>
          <w14:ligatures w14:val="none"/>
        </w:rPr>
      </w:pPr>
      <w:r>
        <w:rPr>
          <w:rFonts w:eastAsia="Times New Roman" w:cs="Calibri"/>
          <w:color w:val="000000"/>
          <w:kern w:val="0"/>
          <w:lang w:eastAsia="fr-FR"/>
          <w14:ligatures w14:val="none"/>
        </w:rPr>
        <w:t>la possibilité d'adhérer à une mutuelle et prévoyance (non obligatoire) dans le cadre des deux contrats groupe de l'Agglomération. En cas d'adhésion, l'employeur participe à hauteur de 50 % de la cotisation mensuelle de l'agent pour la mutuelle et à hauteur de 8 € pour la cotisation mensuelle de l'agent à la prévoyance.</w:t>
      </w:r>
    </w:p>
    <w:p>
      <w:pPr>
        <w:pStyle w:val="Normal"/>
        <w:numPr>
          <w:ilvl w:val="0"/>
          <w:numId w:val="2"/>
        </w:numPr>
        <w:shd w:val="clear" w:color="auto" w:fill="FFFFFF"/>
        <w:suppressAutoHyphens w:val="false"/>
        <w:spacing w:lineRule="auto" w:line="240" w:before="0" w:after="0"/>
        <w:ind w:left="1134" w:hanging="360"/>
        <w:textAlignment w:val="baseline"/>
        <w:rPr>
          <w:rFonts w:ascii="Calibri" w:hAnsi="Calibri" w:eastAsia="Times New Roman" w:cs="Calibri"/>
          <w:color w:val="000000"/>
          <w:kern w:val="0"/>
          <w:lang w:eastAsia="fr-FR"/>
          <w14:ligatures w14:val="none"/>
        </w:rPr>
      </w:pPr>
      <w:r>
        <w:rPr>
          <w:rFonts w:eastAsia="Times New Roman" w:cs="Calibri"/>
          <w:color w:val="000000"/>
          <w:kern w:val="0"/>
          <w:lang w:eastAsia="fr-FR"/>
          <w14:ligatures w14:val="none"/>
        </w:rPr>
        <w:t>le remboursement de 75 % de l'abonnement transports en commun pour le trajet domicile-travail,</w:t>
      </w:r>
    </w:p>
    <w:p>
      <w:pPr>
        <w:pStyle w:val="Normal"/>
        <w:numPr>
          <w:ilvl w:val="0"/>
          <w:numId w:val="2"/>
        </w:numPr>
        <w:shd w:val="clear" w:color="auto" w:fill="FFFFFF"/>
        <w:suppressAutoHyphens w:val="false"/>
        <w:spacing w:lineRule="auto" w:line="240" w:before="0" w:afterAutospacing="1"/>
        <w:ind w:left="1134" w:hanging="360"/>
        <w:textAlignment w:val="baseline"/>
        <w:rPr>
          <w:rFonts w:ascii="Calibri" w:hAnsi="Calibri" w:eastAsia="Times New Roman" w:cs="Calibri"/>
          <w:color w:val="000000"/>
          <w:kern w:val="0"/>
          <w:lang w:eastAsia="fr-FR"/>
          <w14:ligatures w14:val="none"/>
        </w:rPr>
      </w:pPr>
      <w:r>
        <w:rPr>
          <w:rFonts w:eastAsia="Times New Roman" w:cs="Calibri"/>
          <w:color w:val="000000"/>
          <w:kern w:val="0"/>
          <w:lang w:eastAsia="fr-FR"/>
          <w14:ligatures w14:val="none"/>
        </w:rPr>
        <w:t>l'attribution possible des forfaits télétravail et mobilité durable.</w:t>
      </w:r>
    </w:p>
    <w:p>
      <w:pPr>
        <w:pStyle w:val="Normal"/>
        <w:shd w:val="clear" w:color="auto" w:fill="FFFFFF"/>
        <w:suppressAutoHyphens w:val="false"/>
        <w:spacing w:lineRule="auto" w:line="240" w:before="0" w:after="0"/>
        <w:textAlignment w:val="baseline"/>
        <w:rPr>
          <w:rFonts w:ascii="Calibri" w:hAnsi="Calibri" w:eastAsia="Times New Roman" w:cs="Calibri"/>
          <w:color w:val="000000"/>
          <w:kern w:val="0"/>
          <w:lang w:eastAsia="fr-FR"/>
          <w14:ligatures w14:val="none"/>
        </w:rPr>
      </w:pPr>
      <w:r>
        <w:rPr>
          <w:rFonts w:eastAsia="Times New Roman" w:cs="Calibri"/>
          <w:color w:val="000000"/>
          <w:kern w:val="0"/>
          <w:lang w:eastAsia="fr-FR"/>
          <w14:ligatures w14:val="none"/>
        </w:rPr>
      </w:r>
    </w:p>
    <w:p>
      <w:pPr>
        <w:pStyle w:val="Normal"/>
        <w:jc w:val="both"/>
        <w:rPr/>
      </w:pPr>
      <w:r>
        <w:rPr/>
        <w:t xml:space="preserve">Vous pouvez consulter la fiche de poste sur le site : </w:t>
      </w:r>
      <w:hyperlink r:id="rId2">
        <w:r>
          <w:rPr>
            <w:rStyle w:val="LienInternet"/>
          </w:rPr>
          <w:t>www.melunvaldeseine.fr</w:t>
        </w:r>
      </w:hyperlink>
    </w:p>
    <w:p>
      <w:pPr>
        <w:pStyle w:val="Normal"/>
        <w:spacing w:before="0" w:after="160"/>
        <w:jc w:val="both"/>
        <w:rPr/>
      </w:pPr>
      <w:r>
        <w:rPr/>
        <w:t>Merci d’adresser votre candidature (lettre de motivation et CV) par mail : candidatures@camvs.com</w:t>
      </w:r>
    </w:p>
    <w:sectPr>
      <w:type w:val="nextPage"/>
      <w:pgSz w:w="11906" w:h="16838"/>
      <w:pgMar w:left="1418" w:right="1418"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44c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r-FR" w:eastAsia="en-US" w:bidi="ar-SA"/>
      <w14:ligatures w14:val="standardContextual"/>
    </w:rPr>
  </w:style>
  <w:style w:type="paragraph" w:styleId="Titre2">
    <w:name w:val="Heading 2"/>
    <w:basedOn w:val="Titreprincipal"/>
    <w:next w:val="Corpsdetexte"/>
    <w:qFormat/>
    <w:pPr>
      <w:spacing w:before="200" w:after="120"/>
      <w:outlineLvl w:val="1"/>
    </w:pPr>
    <w:rPr>
      <w:rFonts w:ascii="Liberation Serif" w:hAnsi="Liberation Serif" w:eastAsia="Segoe UI" w:cs="Tahoma"/>
      <w:b/>
      <w:bCs/>
      <w:sz w:val="36"/>
      <w:szCs w:val="36"/>
    </w:rPr>
  </w:style>
  <w:style w:type="paragraph" w:styleId="Titre3">
    <w:name w:val="Heading 3"/>
    <w:basedOn w:val="Titreprincipal"/>
    <w:next w:val="Corpsdetexte"/>
    <w:qFormat/>
    <w:pPr>
      <w:spacing w:before="140" w:after="120"/>
      <w:outlineLvl w:val="2"/>
    </w:pPr>
    <w:rPr>
      <w:rFonts w:ascii="Liberation Serif" w:hAnsi="Liberation Serif" w:eastAsia="Segoe UI" w:cs="Tahoma"/>
      <w:b/>
      <w:bCs/>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uiPriority w:val="99"/>
    <w:unhideWhenUsed/>
    <w:rsid w:val="00e344c7"/>
    <w:rPr>
      <w:color w:val="0563C1" w:themeColor="hyperlink"/>
      <w:u w:val="single"/>
    </w:rPr>
  </w:style>
  <w:style w:type="character" w:styleId="Puces" w:customStyle="1">
    <w:name w:val="Puces"/>
    <w:qFormat/>
    <w:rPr>
      <w:rFonts w:ascii="OpenSymbol" w:hAnsi="OpenSymbol" w:eastAsia="OpenSymbol" w:cs="OpenSymbol"/>
    </w:rPr>
  </w:style>
  <w:style w:type="character" w:styleId="LienInternetvisit" w:customStyle="1">
    <w:name w:val="Lien Internet visité"/>
    <w:basedOn w:val="DefaultParagraphFont"/>
    <w:rPr>
      <w:color w:val="954F72" w:themeColor="followedHyperlink"/>
      <w:u w:val="single"/>
    </w:rPr>
  </w:style>
  <w:style w:type="character" w:styleId="Accentuationforte" w:customStyle="1">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e344c7"/>
    <w:pPr>
      <w:spacing w:before="0" w:after="160"/>
      <w:ind w:left="720" w:hanging="0"/>
      <w:contextualSpacing/>
    </w:pPr>
    <w:rPr/>
  </w:style>
  <w:style w:type="paragraph" w:styleId="Standard" w:customStyle="1">
    <w:name w:val="Standard"/>
    <w:qFormat/>
    <w:rsid w:val="00dc7025"/>
    <w:pPr>
      <w:widowControl w:val="false"/>
      <w:suppressAutoHyphens w:val="true"/>
      <w:bidi w:val="0"/>
      <w:spacing w:before="0" w:after="0"/>
      <w:jc w:val="left"/>
      <w:textAlignment w:val="baseline"/>
    </w:pPr>
    <w:rPr>
      <w:rFonts w:ascii="Times New Roman" w:hAnsi="Times New Roman" w:eastAsia="Arial Unicode MS" w:cs="Mangal"/>
      <w:color w:val="auto"/>
      <w:kern w:val="2"/>
      <w:sz w:val="24"/>
      <w:szCs w:val="24"/>
      <w:lang w:val="fr-FR" w:eastAsia="zh-CN" w:bidi="hi-IN"/>
      <w14:ligatures w14:val="none"/>
    </w:rPr>
  </w:style>
  <w:style w:type="paragraph" w:styleId="Default" w:customStyle="1">
    <w:name w:val="Default"/>
    <w:qFormat/>
    <w:rsid w:val="003160c8"/>
    <w:pPr>
      <w:widowControl/>
      <w:suppressAutoHyphens w:val="false"/>
      <w:bidi w:val="0"/>
      <w:spacing w:before="0" w:after="0"/>
      <w:jc w:val="left"/>
    </w:pPr>
    <w:rPr>
      <w:rFonts w:ascii="Times New Roman" w:hAnsi="Times New Roman" w:eastAsia="Calibri" w:cs="Times New Roman"/>
      <w:color w:val="000000"/>
      <w:kern w:val="0"/>
      <w:sz w:val="24"/>
      <w:szCs w:val="24"/>
      <w:lang w:val="fr-FR" w:eastAsia="en-US" w:bidi="ar-SA"/>
      <w14:ligatures w14:val="none"/>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elunvaldeseine.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0E5D8-46B1-403C-AAE7-AC080C68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LibreOffice/7.3.4.2$Windows_X86_64 LibreOffice_project/728fec16bd5f605073805c3c9e7c4212a0120dc5</Application>
  <AppVersion>15.0000</AppVersion>
  <Pages>2</Pages>
  <Words>650</Words>
  <Characters>3676</Characters>
  <CharactersWithSpaces>4287</CharactersWithSpaces>
  <Paragraphs>27</Paragraphs>
  <Company>CAMVS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2025-08-28T13:36:00Z</dcterms:created>
  <dc:creator>FOURNIL Marjorie</dc:creator>
  <dc:description/>
  <dc:language>fr-FR</dc:language>
  <cp:lastModifiedBy/>
  <cp:lastPrinted>2025-07-24T08:58:00Z</cp:lastPrinted>
  <dcterms:modified xsi:type="dcterms:W3CDTF">2025-08-29T11:10:49Z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