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BC4F" w14:textId="673F7DBE" w:rsidR="00F928B8" w:rsidRPr="00BC77E3" w:rsidRDefault="00000000" w:rsidP="00F928B8">
      <w:pPr>
        <w:rPr>
          <w:rFonts w:cstheme="minorHAnsi"/>
          <w:b/>
          <w:bCs/>
        </w:rPr>
      </w:pPr>
      <w:r>
        <w:fldChar w:fldCharType="begin"/>
      </w:r>
      <w:r>
        <w:instrText>HYPERLINK "https://www.cc-lacqorthez.fr/" \t "_blank"</w:instrText>
      </w:r>
      <w:r>
        <w:fldChar w:fldCharType="separate"/>
      </w:r>
      <w:r w:rsidR="00F928B8" w:rsidRPr="00BC77E3">
        <w:rPr>
          <w:rStyle w:val="Lienhypertexte"/>
          <w:rFonts w:cstheme="minorHAnsi"/>
          <w:b/>
          <w:bCs/>
          <w:color w:val="auto"/>
          <w:u w:val="none"/>
          <w:bdr w:val="none" w:sz="0" w:space="0" w:color="auto" w:frame="1"/>
        </w:rPr>
        <w:t>La Communauté de Communes de Lacq-Orthez, </w:t>
      </w:r>
      <w:r>
        <w:rPr>
          <w:rStyle w:val="Lienhypertexte"/>
          <w:rFonts w:cstheme="minorHAnsi"/>
          <w:b/>
          <w:bCs/>
          <w:color w:val="auto"/>
          <w:u w:val="none"/>
          <w:bdr w:val="none" w:sz="0" w:space="0" w:color="auto" w:frame="1"/>
        </w:rPr>
        <w:fldChar w:fldCharType="end"/>
      </w:r>
      <w:r w:rsidR="0005198E">
        <w:rPr>
          <w:rStyle w:val="Lienhypertexte"/>
          <w:rFonts w:cstheme="minorHAnsi"/>
          <w:b/>
          <w:bCs/>
          <w:color w:val="auto"/>
          <w:u w:val="none"/>
          <w:bdr w:val="none" w:sz="0" w:space="0" w:color="auto" w:frame="1"/>
        </w:rPr>
        <w:t>cœur de Béarn (</w:t>
      </w:r>
      <w:r w:rsidR="00F928B8" w:rsidRPr="00BC77E3">
        <w:rPr>
          <w:rStyle w:val="lev"/>
          <w:rFonts w:cstheme="minorHAnsi"/>
          <w:bdr w:val="none" w:sz="0" w:space="0" w:color="auto" w:frame="1"/>
          <w:shd w:val="clear" w:color="auto" w:fill="FFFFFF"/>
        </w:rPr>
        <w:t>61 communes</w:t>
      </w:r>
      <w:r w:rsidR="0005198E">
        <w:rPr>
          <w:rStyle w:val="lev"/>
          <w:rFonts w:cstheme="minorHAnsi"/>
          <w:bdr w:val="none" w:sz="0" w:space="0" w:color="auto" w:frame="1"/>
          <w:shd w:val="clear" w:color="auto" w:fill="FFFFFF"/>
        </w:rPr>
        <w:t>,</w:t>
      </w:r>
      <w:r w:rsidR="00F928B8" w:rsidRPr="00BC77E3">
        <w:rPr>
          <w:rStyle w:val="lev"/>
          <w:rFonts w:cstheme="minorHAnsi"/>
          <w:bdr w:val="none" w:sz="0" w:space="0" w:color="auto" w:frame="1"/>
          <w:shd w:val="clear" w:color="auto" w:fill="FFFFFF"/>
        </w:rPr>
        <w:t xml:space="preserve"> 55 000 habitants</w:t>
      </w:r>
      <w:r w:rsidR="0005198E">
        <w:rPr>
          <w:rStyle w:val="lev"/>
          <w:rFonts w:cstheme="minorHAnsi"/>
          <w:bdr w:val="none" w:sz="0" w:space="0" w:color="auto" w:frame="1"/>
          <w:shd w:val="clear" w:color="auto" w:fill="FFFFFF"/>
        </w:rPr>
        <w:t>)</w:t>
      </w:r>
      <w:r w:rsidR="00F928B8" w:rsidRPr="00BC77E3">
        <w:rPr>
          <w:rStyle w:val="lev"/>
          <w:rFonts w:cstheme="minorHAnsi"/>
          <w:bdr w:val="none" w:sz="0" w:space="0" w:color="auto" w:frame="1"/>
          <w:shd w:val="clear" w:color="auto" w:fill="FFFFFF"/>
        </w:rPr>
        <w:t>, 1</w:t>
      </w:r>
      <w:r w:rsidR="00F928B8" w:rsidRPr="00BC77E3">
        <w:rPr>
          <w:rStyle w:val="lev"/>
          <w:rFonts w:cstheme="minorHAnsi"/>
          <w:bdr w:val="none" w:sz="0" w:space="0" w:color="auto" w:frame="1"/>
          <w:vertAlign w:val="superscript"/>
        </w:rPr>
        <w:t>er</w:t>
      </w:r>
      <w:r w:rsidR="00F928B8" w:rsidRPr="00BC77E3">
        <w:rPr>
          <w:rStyle w:val="lev"/>
          <w:rFonts w:cstheme="minorHAnsi"/>
          <w:bdr w:val="none" w:sz="0" w:space="0" w:color="auto" w:frame="1"/>
          <w:shd w:val="clear" w:color="auto" w:fill="FFFFFF"/>
        </w:rPr>
        <w:t xml:space="preserve"> pôle économique </w:t>
      </w:r>
      <w:r w:rsidR="0005198E">
        <w:rPr>
          <w:rStyle w:val="lev"/>
          <w:rFonts w:cstheme="minorHAnsi"/>
          <w:bdr w:val="none" w:sz="0" w:space="0" w:color="auto" w:frame="1"/>
          <w:shd w:val="clear" w:color="auto" w:fill="FFFFFF"/>
        </w:rPr>
        <w:t xml:space="preserve">des </w:t>
      </w:r>
      <w:r w:rsidR="0005198E" w:rsidRPr="00BC77E3">
        <w:rPr>
          <w:rStyle w:val="lev"/>
          <w:rFonts w:cstheme="minorHAnsi"/>
          <w:bdr w:val="none" w:sz="0" w:space="0" w:color="auto" w:frame="1"/>
          <w:shd w:val="clear" w:color="auto" w:fill="FFFFFF"/>
        </w:rPr>
        <w:t>Pyrénées-Atlantiques</w:t>
      </w:r>
    </w:p>
    <w:p w14:paraId="4BE1307B" w14:textId="29C90257" w:rsidR="006D0A00" w:rsidRPr="00BC77E3" w:rsidRDefault="00F928B8">
      <w:pPr>
        <w:rPr>
          <w:rFonts w:cstheme="minorHAnsi"/>
        </w:rPr>
      </w:pPr>
      <w:proofErr w:type="gramStart"/>
      <w:r w:rsidRPr="00BC77E3">
        <w:rPr>
          <w:rFonts w:cstheme="minorHAnsi"/>
        </w:rPr>
        <w:t>recrute</w:t>
      </w:r>
      <w:proofErr w:type="gramEnd"/>
      <w:r w:rsidRPr="00BC77E3">
        <w:rPr>
          <w:rFonts w:cstheme="minorHAnsi"/>
        </w:rPr>
        <w:t xml:space="preserve"> </w:t>
      </w:r>
      <w:r w:rsidR="00AE5C56" w:rsidRPr="00BC77E3">
        <w:rPr>
          <w:rFonts w:cstheme="minorHAnsi"/>
        </w:rPr>
        <w:t>au sein d</w:t>
      </w:r>
      <w:r w:rsidR="0005198E">
        <w:rPr>
          <w:rFonts w:cstheme="minorHAnsi"/>
        </w:rPr>
        <w:t>e son</w:t>
      </w:r>
      <w:r w:rsidR="00AE5C56" w:rsidRPr="00BC77E3">
        <w:rPr>
          <w:rFonts w:cstheme="minorHAnsi"/>
        </w:rPr>
        <w:t xml:space="preserve"> Pôle Aménagement, un</w:t>
      </w:r>
    </w:p>
    <w:p w14:paraId="19983C94" w14:textId="077565B9" w:rsidR="00B1740E" w:rsidRPr="00BC77E3" w:rsidRDefault="00B1740E">
      <w:pPr>
        <w:rPr>
          <w:rFonts w:cstheme="minorHAnsi"/>
          <w:b/>
          <w:bCs/>
        </w:rPr>
      </w:pPr>
      <w:r w:rsidRPr="00BC77E3">
        <w:rPr>
          <w:rFonts w:cstheme="minorHAnsi"/>
          <w:b/>
          <w:bCs/>
        </w:rPr>
        <w:t>Responsable de service opérationnel des espaces publics h/f</w:t>
      </w:r>
    </w:p>
    <w:p w14:paraId="4838E2B3" w14:textId="1393FC63" w:rsidR="00F928B8" w:rsidRPr="00BC77E3" w:rsidRDefault="00B861E0">
      <w:pPr>
        <w:rPr>
          <w:rFonts w:cstheme="minorHAnsi"/>
        </w:rPr>
      </w:pPr>
      <w:r w:rsidRPr="00BC77E3">
        <w:rPr>
          <w:rFonts w:cstheme="minorHAnsi"/>
        </w:rPr>
        <w:t xml:space="preserve">Cadre d’emplois des ingénieurs ou techniciens </w:t>
      </w:r>
      <w:r w:rsidR="0005198E">
        <w:rPr>
          <w:rFonts w:cstheme="minorHAnsi"/>
        </w:rPr>
        <w:t xml:space="preserve">expérimentés </w:t>
      </w:r>
      <w:r w:rsidRPr="00BC77E3">
        <w:rPr>
          <w:rFonts w:cstheme="minorHAnsi"/>
        </w:rPr>
        <w:t>(catégorie A ou B</w:t>
      </w:r>
      <w:r w:rsidR="0005198E">
        <w:rPr>
          <w:rFonts w:cstheme="minorHAnsi"/>
        </w:rPr>
        <w:t>+</w:t>
      </w:r>
      <w:r w:rsidRPr="00BC77E3">
        <w:rPr>
          <w:rFonts w:cstheme="minorHAnsi"/>
        </w:rPr>
        <w:t>)</w:t>
      </w:r>
    </w:p>
    <w:p w14:paraId="7C6C7185" w14:textId="77777777" w:rsidR="00B861E0" w:rsidRPr="00BC77E3" w:rsidRDefault="00B861E0">
      <w:pPr>
        <w:rPr>
          <w:rFonts w:cstheme="minorHAnsi"/>
          <w:b/>
          <w:bCs/>
        </w:rPr>
      </w:pPr>
    </w:p>
    <w:p w14:paraId="3F858500" w14:textId="7A0D2EE8" w:rsidR="00312161" w:rsidRPr="00BC77E3" w:rsidRDefault="00312161" w:rsidP="00312161">
      <w:pPr>
        <w:rPr>
          <w:rFonts w:cstheme="minorHAnsi"/>
        </w:rPr>
      </w:pPr>
      <w:r w:rsidRPr="00BC77E3">
        <w:rPr>
          <w:rFonts w:cstheme="minorHAnsi"/>
        </w:rPr>
        <w:t>Vos missions consistent à animer et coordonner les activités des unités d’entretien de l’espace public (voirie, signalisation, patrimoine végétal</w:t>
      </w:r>
      <w:r w:rsidR="0005198E">
        <w:rPr>
          <w:rFonts w:cstheme="minorHAnsi"/>
        </w:rPr>
        <w:t>, 130 agents en régie</w:t>
      </w:r>
      <w:r w:rsidR="004B3272">
        <w:rPr>
          <w:rFonts w:cstheme="minorHAnsi"/>
        </w:rPr>
        <w:t>)</w:t>
      </w:r>
      <w:r w:rsidRPr="00BC77E3">
        <w:rPr>
          <w:rFonts w:cstheme="minorHAnsi"/>
        </w:rPr>
        <w:t xml:space="preserve"> et </w:t>
      </w:r>
      <w:r w:rsidR="0005198E">
        <w:rPr>
          <w:rFonts w:cstheme="minorHAnsi"/>
        </w:rPr>
        <w:t xml:space="preserve">d’en </w:t>
      </w:r>
      <w:r w:rsidRPr="00BC77E3">
        <w:rPr>
          <w:rFonts w:cstheme="minorHAnsi"/>
        </w:rPr>
        <w:t>assurer la gestion courante (</w:t>
      </w:r>
      <w:r w:rsidR="001F7348">
        <w:rPr>
          <w:rFonts w:cstheme="minorHAnsi"/>
        </w:rPr>
        <w:t xml:space="preserve">gestion </w:t>
      </w:r>
      <w:r w:rsidRPr="00BC77E3">
        <w:rPr>
          <w:rFonts w:cstheme="minorHAnsi"/>
        </w:rPr>
        <w:t xml:space="preserve">humaine, technique, administrative et financière). Vous devez traduire de manière opérationnelle les décisions politiques </w:t>
      </w:r>
      <w:r w:rsidR="0005198E">
        <w:rPr>
          <w:rFonts w:cstheme="minorHAnsi"/>
        </w:rPr>
        <w:t xml:space="preserve">et </w:t>
      </w:r>
      <w:r w:rsidRPr="00BC77E3">
        <w:rPr>
          <w:rFonts w:cstheme="minorHAnsi"/>
        </w:rPr>
        <w:t>assurer la transversalité avec les autres pôles, services et tiers.</w:t>
      </w:r>
    </w:p>
    <w:p w14:paraId="67E61BAE" w14:textId="4130B2F0" w:rsidR="00B861E0" w:rsidRPr="00BC77E3" w:rsidRDefault="00312161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>Dans ce cadre, vous devez plus précisément :</w:t>
      </w:r>
    </w:p>
    <w:p w14:paraId="1ABFF272" w14:textId="77777777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Animer le collectif des chefs d’équipes en favorisant la coopération entre les différents métiers </w:t>
      </w:r>
    </w:p>
    <w:p w14:paraId="50C4B596" w14:textId="79C7ECF9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Harmoniser les pratiques entre les deux bases </w:t>
      </w:r>
      <w:r w:rsidR="00F75B10">
        <w:rPr>
          <w:rFonts w:cstheme="minorHAnsi"/>
        </w:rPr>
        <w:t xml:space="preserve">de </w:t>
      </w:r>
      <w:r w:rsidRPr="00BC77E3">
        <w:rPr>
          <w:rFonts w:cstheme="minorHAnsi"/>
        </w:rPr>
        <w:t xml:space="preserve">Mourenx et </w:t>
      </w:r>
      <w:r w:rsidR="00F75B10">
        <w:rPr>
          <w:rFonts w:cstheme="minorHAnsi"/>
        </w:rPr>
        <w:t>d’</w:t>
      </w:r>
      <w:r w:rsidRPr="00BC77E3">
        <w:rPr>
          <w:rFonts w:cstheme="minorHAnsi"/>
        </w:rPr>
        <w:t>Orthez et les prestations externalisées</w:t>
      </w:r>
    </w:p>
    <w:p w14:paraId="665A39F4" w14:textId="5F91BA9A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Assurer la liaison entre les </w:t>
      </w:r>
      <w:r w:rsidR="00F75B10">
        <w:rPr>
          <w:rFonts w:cstheme="minorHAnsi"/>
        </w:rPr>
        <w:t xml:space="preserve">chargés </w:t>
      </w:r>
      <w:r w:rsidRPr="00BC77E3">
        <w:rPr>
          <w:rFonts w:cstheme="minorHAnsi"/>
        </w:rPr>
        <w:t>de secteur et la régie, prendre en compte et traiter les demandes</w:t>
      </w:r>
      <w:r w:rsidR="00F75B10">
        <w:rPr>
          <w:rFonts w:cstheme="minorHAnsi"/>
        </w:rPr>
        <w:t xml:space="preserve"> d’intervention sur le territoire de l’intercommunalité</w:t>
      </w:r>
      <w:r w:rsidR="001F7348">
        <w:rPr>
          <w:rFonts w:cstheme="minorHAnsi"/>
        </w:rPr>
        <w:t xml:space="preserve">, </w:t>
      </w:r>
      <w:r w:rsidR="00F75B10">
        <w:rPr>
          <w:rFonts w:cstheme="minorHAnsi"/>
        </w:rPr>
        <w:t xml:space="preserve">et mettre en œuvre les </w:t>
      </w:r>
      <w:r w:rsidRPr="00BC77E3">
        <w:rPr>
          <w:rFonts w:cstheme="minorHAnsi"/>
        </w:rPr>
        <w:t xml:space="preserve">évolutions liées au développement durable et à l’économie circulaire </w:t>
      </w:r>
    </w:p>
    <w:p w14:paraId="2E6E215B" w14:textId="77777777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>- Compléter la connaissance du patrimoine, assurer la traçabilité des interventions</w:t>
      </w:r>
    </w:p>
    <w:p w14:paraId="5202601F" w14:textId="2616609F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>- Contrôler l’exécution budgétaire et participer à la préparation budgétaire</w:t>
      </w:r>
    </w:p>
    <w:p w14:paraId="402E6AB7" w14:textId="56B3B5F9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>- Rédiger des cahiers des charges, analyser des offres et suivre les exécutions dans le cadre de la</w:t>
      </w:r>
      <w:r>
        <w:rPr>
          <w:rFonts w:cstheme="minorHAnsi"/>
        </w:rPr>
        <w:t xml:space="preserve"> </w:t>
      </w:r>
      <w:r w:rsidRPr="00BC77E3">
        <w:rPr>
          <w:rFonts w:cstheme="minorHAnsi"/>
        </w:rPr>
        <w:t>passation de marchés publics</w:t>
      </w:r>
    </w:p>
    <w:p w14:paraId="4FC0C612" w14:textId="35A20689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Proposer des orientations stratégiques en investissement matériel, et veiller </w:t>
      </w:r>
      <w:r w:rsidR="00F75B10">
        <w:rPr>
          <w:rFonts w:cstheme="minorHAnsi"/>
        </w:rPr>
        <w:t>à son</w:t>
      </w:r>
      <w:r w:rsidRPr="00BC77E3">
        <w:rPr>
          <w:rFonts w:cstheme="minorHAnsi"/>
        </w:rPr>
        <w:t xml:space="preserve"> bon usage </w:t>
      </w:r>
    </w:p>
    <w:p w14:paraId="317B8758" w14:textId="5616D1B2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Fixer les objectifs pour le service et rendre compte des actions menées et </w:t>
      </w:r>
      <w:r w:rsidR="00F75B10">
        <w:rPr>
          <w:rFonts w:cstheme="minorHAnsi"/>
        </w:rPr>
        <w:t xml:space="preserve">des </w:t>
      </w:r>
      <w:r w:rsidRPr="00BC77E3">
        <w:rPr>
          <w:rFonts w:cstheme="minorHAnsi"/>
        </w:rPr>
        <w:t>résultats obtenus</w:t>
      </w:r>
    </w:p>
    <w:p w14:paraId="6B03F689" w14:textId="4EF5A094" w:rsidR="00BC77E3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 xml:space="preserve">- Faire appliquer les règlementations en matière d’hygiène et </w:t>
      </w:r>
      <w:r w:rsidR="00F75B10">
        <w:rPr>
          <w:rFonts w:cstheme="minorHAnsi"/>
        </w:rPr>
        <w:t xml:space="preserve">de </w:t>
      </w:r>
      <w:r w:rsidRPr="00BC77E3">
        <w:rPr>
          <w:rFonts w:cstheme="minorHAnsi"/>
        </w:rPr>
        <w:t xml:space="preserve">sécurité </w:t>
      </w:r>
    </w:p>
    <w:p w14:paraId="2DEB10E5" w14:textId="23E174F0" w:rsidR="00312161" w:rsidRPr="00BC77E3" w:rsidRDefault="00BC77E3" w:rsidP="00BC77E3">
      <w:pPr>
        <w:spacing w:after="0"/>
        <w:rPr>
          <w:rFonts w:cstheme="minorHAnsi"/>
        </w:rPr>
      </w:pPr>
      <w:r w:rsidRPr="00BC77E3">
        <w:rPr>
          <w:rFonts w:cstheme="minorHAnsi"/>
        </w:rPr>
        <w:t>- Gérer les crises liées à des évènements exceptionnels</w:t>
      </w:r>
    </w:p>
    <w:p w14:paraId="2B921C1E" w14:textId="77777777" w:rsidR="00F928B8" w:rsidRDefault="00F928B8">
      <w:pPr>
        <w:rPr>
          <w:b/>
          <w:bCs/>
        </w:rPr>
      </w:pPr>
    </w:p>
    <w:p w14:paraId="5A135FA1" w14:textId="5DF8CCC4" w:rsidR="00EF3993" w:rsidRDefault="00EF3993" w:rsidP="003B112B">
      <w:pPr>
        <w:spacing w:after="0"/>
      </w:pPr>
      <w:r w:rsidRPr="00EF3993">
        <w:t>Titulaire d'un diplôme de l'enseignement supérieur, master, ingénieur (bac +4/+5) dans le domaine du BTP / VRD, du paysage, du génie technique</w:t>
      </w:r>
      <w:r>
        <w:t xml:space="preserve">, vous disposez de </w:t>
      </w:r>
      <w:r w:rsidRPr="00EF3993">
        <w:t>connaissances approfondies des techniques de gestion des espaces public, du patrimoine</w:t>
      </w:r>
      <w:r>
        <w:t xml:space="preserve">, </w:t>
      </w:r>
      <w:r w:rsidRPr="00EF3993">
        <w:t>en gestion, juridiques, de la commande et de</w:t>
      </w:r>
      <w:r>
        <w:t xml:space="preserve"> la </w:t>
      </w:r>
      <w:r w:rsidRPr="00EF3993">
        <w:t>comptabilité publique</w:t>
      </w:r>
      <w:r>
        <w:t>.</w:t>
      </w:r>
      <w:r w:rsidR="00066120">
        <w:t xml:space="preserve"> </w:t>
      </w:r>
    </w:p>
    <w:p w14:paraId="3D19D2D9" w14:textId="4ABC638A" w:rsidR="00AA3817" w:rsidRPr="00EF3993" w:rsidRDefault="00066120" w:rsidP="003B112B">
      <w:pPr>
        <w:spacing w:after="0"/>
      </w:pPr>
      <w:r>
        <w:t>Rompu au management (130 agents), v</w:t>
      </w:r>
      <w:r w:rsidR="003B112B">
        <w:t>ous disposez d’aptitudes à la communication</w:t>
      </w:r>
      <w:r w:rsidR="00F75B10">
        <w:t xml:space="preserve"> et à l’animation collective</w:t>
      </w:r>
      <w:r w:rsidR="003B112B">
        <w:t>.</w:t>
      </w:r>
    </w:p>
    <w:p w14:paraId="5F4CCB09" w14:textId="502776FB" w:rsidR="00EF3993" w:rsidRPr="00EF3993" w:rsidRDefault="003B112B" w:rsidP="003B112B">
      <w:pPr>
        <w:spacing w:after="0"/>
      </w:pPr>
      <w:r>
        <w:t>Rigueur, discrétion, sens de l’écoute, curiosité, adaptabilité et assertivité sont attendus.</w:t>
      </w:r>
    </w:p>
    <w:p w14:paraId="06ADBA10" w14:textId="5E46C4F2" w:rsidR="00EF3993" w:rsidRDefault="00631A29">
      <w:r w:rsidRPr="00631A29">
        <w:t>Réactivité et disponibilité requises (déplacements).</w:t>
      </w:r>
    </w:p>
    <w:p w14:paraId="0FE6AE15" w14:textId="2955C23B" w:rsidR="00F75B10" w:rsidRPr="00631A29" w:rsidRDefault="00F75B10">
      <w:r>
        <w:t>Permis B indispensable car de nombreux déplacements sont à prévoir pour lesquels un véhicule de service est mis à disposition avec remisage à domicile.</w:t>
      </w:r>
    </w:p>
    <w:p w14:paraId="37854B72" w14:textId="77777777" w:rsidR="00F928B8" w:rsidRPr="00896D3D" w:rsidRDefault="00F928B8" w:rsidP="00F928B8">
      <w:pPr>
        <w:rPr>
          <w:rFonts w:cstheme="minorHAnsi"/>
        </w:rPr>
      </w:pPr>
      <w:r w:rsidRPr="00896D3D">
        <w:rPr>
          <w:rFonts w:cstheme="minorHAnsi"/>
        </w:rPr>
        <w:t>Nos avantages :</w:t>
      </w:r>
    </w:p>
    <w:p w14:paraId="0FAC1EF9" w14:textId="5A090D00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Rythme de 36 heures hebdomadaires avec 31 jours de congés par an avec une grande souplesse dans les cycles de travail accessibles selon les nécessités de service et du poste,</w:t>
      </w:r>
    </w:p>
    <w:p w14:paraId="592CDFAB" w14:textId="77777777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Des tickets restaurants avec une participation de la collectivité à hauteur de 50%,</w:t>
      </w:r>
    </w:p>
    <w:p w14:paraId="298D7937" w14:textId="6C151901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Une participation financière de la part de la collectivité à une mutuelle de santé pour un contrat « labellisé » </w:t>
      </w:r>
    </w:p>
    <w:p w14:paraId="33700182" w14:textId="77777777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lastRenderedPageBreak/>
        <w:t>La possibilité d’adhérer au régime de prévoyance facultatif Collectam (prise en charge de 70 % par la collectivité),</w:t>
      </w:r>
    </w:p>
    <w:p w14:paraId="6AF6997D" w14:textId="4C430499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Des animations et autres avantages pour chaque agent et leurs enfants</w:t>
      </w:r>
      <w:r w:rsidR="00F75B10">
        <w:rPr>
          <w:rFonts w:eastAsia="Times New Roman" w:cstheme="minorHAnsi"/>
          <w:color w:val="212529"/>
          <w:kern w:val="0"/>
          <w:lang w:eastAsia="fr-FR"/>
          <w14:ligatures w14:val="none"/>
        </w:rPr>
        <w:t xml:space="preserve"> à charge</w:t>
      </w: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, proposés par l’association </w:t>
      </w:r>
      <w:r w:rsidR="00F75B10">
        <w:rPr>
          <w:rFonts w:eastAsia="Times New Roman" w:cstheme="minorHAnsi"/>
          <w:color w:val="212529"/>
          <w:kern w:val="0"/>
          <w:lang w:eastAsia="fr-FR"/>
          <w14:ligatures w14:val="none"/>
        </w:rPr>
        <w:t xml:space="preserve">locale </w:t>
      </w: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Sports et Loisirs et</w:t>
      </w:r>
      <w:r w:rsidR="00F75B10">
        <w:rPr>
          <w:rFonts w:eastAsia="Times New Roman" w:cstheme="minorHAnsi"/>
          <w:color w:val="212529"/>
          <w:kern w:val="0"/>
          <w:lang w:eastAsia="fr-FR"/>
          <w14:ligatures w14:val="none"/>
        </w:rPr>
        <w:t>/ou</w:t>
      </w: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 xml:space="preserve"> le Comité d’action sociale du personnel territorial des Pyrénées-Atlantiques</w:t>
      </w:r>
      <w:r w:rsidR="00F75B10">
        <w:rPr>
          <w:rFonts w:eastAsia="Times New Roman" w:cstheme="minorHAnsi"/>
          <w:color w:val="212529"/>
          <w:kern w:val="0"/>
          <w:lang w:eastAsia="fr-FR"/>
          <w14:ligatures w14:val="none"/>
        </w:rPr>
        <w:t xml:space="preserve"> du Centre de Gestion</w:t>
      </w:r>
      <w:r w:rsidRPr="00BB1956">
        <w:rPr>
          <w:rFonts w:eastAsia="Times New Roman" w:cstheme="minorHAnsi"/>
          <w:color w:val="212529"/>
          <w:kern w:val="0"/>
          <w:lang w:eastAsia="fr-FR"/>
          <w14:ligatures w14:val="none"/>
        </w:rPr>
        <w:t>,</w:t>
      </w:r>
    </w:p>
    <w:p w14:paraId="116B3245" w14:textId="77777777" w:rsidR="00F928B8" w:rsidRPr="00867A57" w:rsidRDefault="00F928B8" w:rsidP="00F928B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eastAsia="Times New Roman" w:cstheme="minorHAnsi"/>
          <w:color w:val="212529"/>
          <w:kern w:val="0"/>
          <w:lang w:eastAsia="fr-FR"/>
          <w14:ligatures w14:val="none"/>
        </w:rPr>
      </w:pPr>
      <w:r w:rsidRPr="00867A57">
        <w:rPr>
          <w:rFonts w:eastAsia="Times New Roman" w:cstheme="minorHAnsi"/>
          <w:color w:val="212529"/>
          <w:kern w:val="0"/>
          <w:lang w:eastAsia="fr-FR"/>
          <w14:ligatures w14:val="none"/>
        </w:rPr>
        <w:t>La possibilité de bénéficier du forfait mobilités durables, si vous vous déplacez au moyen d’un vélo (ou vélo à assistance électrique) ou que vous faites du covoiturage (en tant que conducteur ou passager).</w:t>
      </w:r>
    </w:p>
    <w:p w14:paraId="58743D3C" w14:textId="77777777" w:rsidR="00F928B8" w:rsidRPr="00E11E0B" w:rsidRDefault="00F928B8" w:rsidP="00F928B8">
      <w:pPr>
        <w:rPr>
          <w:rFonts w:cstheme="minorHAnsi"/>
          <w:sz w:val="4"/>
          <w:szCs w:val="4"/>
        </w:rPr>
      </w:pPr>
    </w:p>
    <w:p w14:paraId="7E5DFB2A" w14:textId="77777777" w:rsidR="00F928B8" w:rsidRDefault="00F928B8" w:rsidP="00F928B8">
      <w:pPr>
        <w:tabs>
          <w:tab w:val="left" w:pos="3030"/>
          <w:tab w:val="center" w:pos="4536"/>
        </w:tabs>
        <w:rPr>
          <w:rFonts w:cstheme="minorHAnsi"/>
        </w:rPr>
      </w:pPr>
    </w:p>
    <w:p w14:paraId="76796853" w14:textId="77777777" w:rsidR="00F928B8" w:rsidRPr="00BB1956" w:rsidRDefault="00F928B8" w:rsidP="00F928B8">
      <w:pPr>
        <w:tabs>
          <w:tab w:val="left" w:pos="3030"/>
          <w:tab w:val="center" w:pos="4536"/>
        </w:tabs>
        <w:rPr>
          <w:rFonts w:cstheme="minorHAnsi"/>
        </w:rPr>
      </w:pPr>
      <w:r w:rsidRPr="00BB1956">
        <w:rPr>
          <w:rFonts w:cstheme="minorHAnsi"/>
        </w:rPr>
        <w:t xml:space="preserve">Retrouvez le profil de poste détaillé sur notre site : </w:t>
      </w:r>
      <w:hyperlink r:id="rId5" w:history="1">
        <w:r w:rsidRPr="00BB1956">
          <w:rPr>
            <w:rStyle w:val="Lienhypertexte"/>
            <w:rFonts w:cstheme="minorHAnsi"/>
          </w:rPr>
          <w:t>www.cc-lacqorthez.fr</w:t>
        </w:r>
      </w:hyperlink>
    </w:p>
    <w:p w14:paraId="2AA431EA" w14:textId="77777777" w:rsidR="00F928B8" w:rsidRPr="00F75B10" w:rsidRDefault="00F928B8" w:rsidP="00F928B8">
      <w:pPr>
        <w:spacing w:after="0"/>
        <w:rPr>
          <w:rStyle w:val="Lienhypertexte"/>
          <w:rFonts w:cstheme="minorHAnsi"/>
          <w:color w:val="auto"/>
          <w:u w:val="none"/>
          <w:bdr w:val="none" w:sz="0" w:space="0" w:color="auto" w:frame="1"/>
        </w:rPr>
      </w:pPr>
      <w:r w:rsidRPr="00BB1956">
        <w:rPr>
          <w:rFonts w:cstheme="minorHAnsi"/>
        </w:rPr>
        <w:t xml:space="preserve">Merci de bien vouloir adresser votre candidature par courrier à : Monsieur le Président de la Communauté de Communes de Lacq-Orthez, Rond-point des chênes BP 73, 64150 MOURENX ou par </w:t>
      </w:r>
      <w:r w:rsidRPr="00F75B10">
        <w:rPr>
          <w:rFonts w:cstheme="minorHAnsi"/>
        </w:rPr>
        <w:t>courriel à :  </w:t>
      </w:r>
      <w:hyperlink r:id="rId6" w:history="1">
        <w:r w:rsidRPr="00F75B10">
          <w:rPr>
            <w:rStyle w:val="Lienhypertexte"/>
            <w:rFonts w:cstheme="minorHAnsi"/>
            <w:color w:val="auto"/>
            <w:u w:val="none"/>
            <w:bdr w:val="none" w:sz="0" w:space="0" w:color="auto" w:frame="1"/>
          </w:rPr>
          <w:t>contact@cc-lacqorthez.fr</w:t>
        </w:r>
      </w:hyperlink>
    </w:p>
    <w:p w14:paraId="781B97ED" w14:textId="68E00892" w:rsidR="00F928B8" w:rsidRDefault="00F928B8" w:rsidP="00F928B8">
      <w:pPr>
        <w:spacing w:after="0"/>
      </w:pPr>
      <w:r w:rsidRPr="00F75B10">
        <w:rPr>
          <w:rStyle w:val="Lienhypertexte"/>
          <w:rFonts w:cstheme="minorHAnsi"/>
          <w:color w:val="auto"/>
          <w:u w:val="none"/>
          <w:bdr w:val="none" w:sz="0" w:space="0" w:color="auto" w:frame="1"/>
        </w:rPr>
        <w:t xml:space="preserve">Avant le </w:t>
      </w:r>
      <w:r w:rsidR="00F75B10" w:rsidRPr="00F75B10">
        <w:rPr>
          <w:rStyle w:val="Lienhypertexte"/>
          <w:rFonts w:cstheme="minorHAnsi"/>
          <w:color w:val="auto"/>
          <w:u w:val="none"/>
          <w:bdr w:val="none" w:sz="0" w:space="0" w:color="auto" w:frame="1"/>
        </w:rPr>
        <w:t>3 novembre 2023</w:t>
      </w:r>
    </w:p>
    <w:sectPr w:rsidR="00F9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A1C14"/>
    <w:multiLevelType w:val="multilevel"/>
    <w:tmpl w:val="B9E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48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0E"/>
    <w:rsid w:val="0005198E"/>
    <w:rsid w:val="00066120"/>
    <w:rsid w:val="001F7348"/>
    <w:rsid w:val="00312161"/>
    <w:rsid w:val="0036025E"/>
    <w:rsid w:val="003B112B"/>
    <w:rsid w:val="00400F62"/>
    <w:rsid w:val="004B3272"/>
    <w:rsid w:val="00631A29"/>
    <w:rsid w:val="0066434D"/>
    <w:rsid w:val="006D0A00"/>
    <w:rsid w:val="00896D3D"/>
    <w:rsid w:val="008F1751"/>
    <w:rsid w:val="00AA3817"/>
    <w:rsid w:val="00AE5C56"/>
    <w:rsid w:val="00B1740E"/>
    <w:rsid w:val="00B861E0"/>
    <w:rsid w:val="00B97EA3"/>
    <w:rsid w:val="00BC77E3"/>
    <w:rsid w:val="00EF3993"/>
    <w:rsid w:val="00F75B10"/>
    <w:rsid w:val="00F9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7AFD"/>
  <w15:chartTrackingRefBased/>
  <w15:docId w15:val="{1836EA6F-7C13-482E-9FCA-9FCCEFD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928B8"/>
    <w:rPr>
      <w:b/>
      <w:bCs/>
    </w:rPr>
  </w:style>
  <w:style w:type="character" w:styleId="Lienhypertexte">
    <w:name w:val="Hyperlink"/>
    <w:basedOn w:val="Policepardfaut"/>
    <w:uiPriority w:val="99"/>
    <w:unhideWhenUsed/>
    <w:rsid w:val="00F92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www.cc-lacqorthez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FOURNIL Marjorie</dc:creator>
  <cp:keywords/>
  <dc:description/>
  <cp:lastModifiedBy>FOURNIL Marjorie</cp:lastModifiedBy>
  <cp:revision>2</cp:revision>
  <dcterms:created xsi:type="dcterms:W3CDTF">2023-09-20T07:38:00Z</dcterms:created>
  <dcterms:modified xsi:type="dcterms:W3CDTF">2023-09-20T07:38:00Z</dcterms:modified>
</cp:coreProperties>
</file>