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70" w:hanging="0"/>
        <w:rPr>
          <w:rFonts w:ascii="Yearbook Outline" w:hAnsi="Yearbook Outline"/>
          <w:b/>
          <w:b/>
          <w:bCs/>
          <w:color w:val="0000FF"/>
          <w:spacing w:val="20"/>
          <w:sz w:val="22"/>
        </w:rPr>
      </w:pPr>
      <w:r>
        <w:rPr/>
        <w:drawing>
          <wp:inline distT="0" distB="0" distL="0" distR="0">
            <wp:extent cx="1479550" cy="676275"/>
            <wp:effectExtent l="0" t="0" r="0" b="0"/>
            <wp:docPr id="1" name="Image 1" descr="Logo CCPM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CPM_Q"/>
                    <pic:cNvPicPr>
                      <a:picLocks noChangeAspect="1" noChangeArrowheads="1"/>
                    </pic:cNvPicPr>
                  </pic:nvPicPr>
                  <pic:blipFill>
                    <a:blip r:embed="rId2"/>
                    <a:stretch>
                      <a:fillRect/>
                    </a:stretch>
                  </pic:blipFill>
                  <pic:spPr bwMode="auto">
                    <a:xfrm>
                      <a:off x="0" y="0"/>
                      <a:ext cx="1479550" cy="676275"/>
                    </a:xfrm>
                    <a:prstGeom prst="rect">
                      <a:avLst/>
                    </a:prstGeom>
                  </pic:spPr>
                </pic:pic>
              </a:graphicData>
            </a:graphic>
          </wp:inline>
        </w:drawing>
      </w:r>
    </w:p>
    <w:p>
      <w:pPr>
        <w:pStyle w:val="Normal"/>
        <w:jc w:val="center"/>
        <w:rPr>
          <w:rFonts w:ascii="Arial" w:hAnsi="Arial" w:cs="Arial"/>
          <w:b/>
          <w:b/>
          <w:color w:val="4F81BD"/>
        </w:rPr>
      </w:pPr>
      <w:r>
        <w:rPr>
          <w:rFonts w:cs="Arial" w:ascii="Arial" w:hAnsi="Arial"/>
          <w:b/>
          <w:color w:val="4F81BD"/>
        </w:rPr>
      </w:r>
    </w:p>
    <w:p>
      <w:pPr>
        <w:pStyle w:val="Normal"/>
        <w:jc w:val="center"/>
        <w:rPr>
          <w:rFonts w:ascii="Arial" w:hAnsi="Arial" w:cs="Arial"/>
          <w:b/>
          <w:b/>
          <w:color w:val="4F81BD"/>
        </w:rPr>
      </w:pPr>
      <w:r>
        <w:rPr>
          <w:rFonts w:cs="Arial" w:ascii="Arial" w:hAnsi="Arial"/>
          <w:b/>
          <w:color w:val="4F81BD"/>
        </w:rPr>
      </w:r>
    </w:p>
    <w:p>
      <w:pPr>
        <w:pStyle w:val="Normal"/>
        <w:jc w:val="center"/>
        <w:rPr>
          <w:rFonts w:ascii="Arial" w:hAnsi="Arial" w:cs="Arial"/>
          <w:b/>
          <w:b/>
          <w:color w:val="4F81BD"/>
        </w:rPr>
      </w:pPr>
      <w:r>
        <w:rPr>
          <w:rFonts w:cs="Arial" w:ascii="Arial" w:hAnsi="Arial"/>
          <w:b/>
          <w:color w:val="4F81BD"/>
        </w:rPr>
      </w:r>
    </w:p>
    <w:p>
      <w:pPr>
        <w:pStyle w:val="Normal"/>
        <w:jc w:val="both"/>
        <w:rPr>
          <w:rFonts w:ascii="Calibri" w:hAnsi="Calibri" w:cs="Calibri"/>
          <w:sz w:val="22"/>
          <w:szCs w:val="22"/>
        </w:rPr>
      </w:pPr>
      <w:r>
        <w:rPr>
          <w:rFonts w:cs="Calibri" w:ascii="Calibri" w:hAnsi="Calibri"/>
          <w:sz w:val="22"/>
          <w:szCs w:val="22"/>
        </w:rPr>
        <w:t xml:space="preserve">Située au sud du département de Seine et Marne, la Communauté de Communes du Pays de Montereau regroupe 21 communes autour d'une unité urbaine principale, Montereau, et totalise 42 000 habitants. Le territoire est attractif du fait de son cadre de vie qualitatif et de sa dynamique industrielle et logistique compte tenu de sa desserte multimodale (autoroute, fleuve et fer) et de son offre foncière.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La Communauté de Communes du Pays de Montereau recrute pour ses services techniques,</w:t>
      </w:r>
    </w:p>
    <w:p>
      <w:pPr>
        <w:pStyle w:val="Normal"/>
        <w:jc w:val="center"/>
        <w:rPr>
          <w:rFonts w:ascii="Arial" w:hAnsi="Arial" w:cs="Arial"/>
          <w:b/>
          <w:b/>
          <w:color w:val="4F81BD"/>
          <w:sz w:val="16"/>
          <w:szCs w:val="16"/>
        </w:rPr>
      </w:pPr>
      <w:r>
        <w:rPr>
          <w:rFonts w:cs="Arial" w:ascii="Arial" w:hAnsi="Arial"/>
          <w:b/>
          <w:color w:val="4F81BD"/>
          <w:sz w:val="16"/>
          <w:szCs w:val="16"/>
        </w:rPr>
      </w:r>
    </w:p>
    <w:p>
      <w:pPr>
        <w:pStyle w:val="Normal"/>
        <w:jc w:val="center"/>
        <w:rPr>
          <w:rFonts w:ascii="Calibri" w:hAnsi="Calibri" w:cs="Calibri"/>
          <w:b/>
          <w:b/>
          <w:sz w:val="22"/>
          <w:szCs w:val="22"/>
        </w:rPr>
      </w:pPr>
      <w:r>
        <w:rPr>
          <w:rFonts w:cs="Calibri" w:ascii="Calibri" w:hAnsi="Calibri"/>
          <w:b/>
          <w:sz w:val="22"/>
          <w:szCs w:val="22"/>
        </w:rPr>
        <w:t>Un responsable du bureau d’études (h/f)</w:t>
      </w:r>
    </w:p>
    <w:p>
      <w:pPr>
        <w:pStyle w:val="Normal"/>
        <w:jc w:val="center"/>
        <w:rPr>
          <w:rFonts w:ascii="Arial" w:hAnsi="Arial" w:cs="Arial"/>
          <w:bCs/>
        </w:rPr>
      </w:pPr>
      <w:r>
        <w:rPr>
          <w:rFonts w:cs="Arial" w:ascii="Arial" w:hAnsi="Arial"/>
          <w:bCs/>
        </w:rPr>
      </w:r>
    </w:p>
    <w:p>
      <w:pPr>
        <w:pStyle w:val="Normal"/>
        <w:rPr>
          <w:rFonts w:ascii="Calibri" w:hAnsi="Calibri"/>
          <w:b/>
          <w:b/>
          <w:iCs/>
          <w:sz w:val="22"/>
          <w:szCs w:val="22"/>
        </w:rPr>
      </w:pPr>
      <w:r>
        <w:rPr>
          <w:rFonts w:ascii="Calibri" w:hAnsi="Calibri"/>
          <w:b/>
          <w:iCs/>
          <w:sz w:val="22"/>
          <w:szCs w:val="22"/>
        </w:rPr>
        <w:tab/>
        <w:t>Fonctionnaire titulaire (catégorie B expérimenté ou cadre A) ou à défaut, contractuel</w:t>
      </w:r>
    </w:p>
    <w:p>
      <w:pPr>
        <w:pStyle w:val="Normal"/>
        <w:jc w:val="center"/>
        <w:rPr>
          <w:rFonts w:ascii="Arial" w:hAnsi="Arial" w:cs="Arial"/>
          <w:b/>
          <w:b/>
          <w:color w:val="4F81BD"/>
        </w:rPr>
      </w:pPr>
      <w:r>
        <w:rPr>
          <w:rFonts w:cs="Arial" w:ascii="Arial" w:hAnsi="Arial"/>
          <w:b/>
          <w:color w:val="4F81BD"/>
        </w:rPr>
        <w:tab/>
      </w:r>
    </w:p>
    <w:p>
      <w:pPr>
        <w:pStyle w:val="Normal"/>
        <w:jc w:val="center"/>
        <w:rPr>
          <w:rFonts w:ascii="Arial" w:hAnsi="Arial" w:cs="Arial"/>
          <w:b/>
          <w:b/>
          <w:color w:val="4F81BD"/>
          <w:sz w:val="16"/>
          <w:szCs w:val="16"/>
        </w:rPr>
      </w:pPr>
      <w:r>
        <w:rPr>
          <w:rFonts w:cs="Arial" w:ascii="Arial" w:hAnsi="Arial"/>
          <w:b/>
          <w:color w:val="4F81BD"/>
          <w:sz w:val="16"/>
          <w:szCs w:val="16"/>
        </w:rPr>
      </w:r>
    </w:p>
    <w:p>
      <w:pPr>
        <w:pStyle w:val="Normal"/>
        <w:jc w:val="center"/>
        <w:rPr>
          <w:rFonts w:ascii="Arial" w:hAnsi="Arial" w:cs="Arial"/>
          <w:b/>
          <w:b/>
          <w:color w:val="4F81BD"/>
          <w:sz w:val="16"/>
          <w:szCs w:val="16"/>
        </w:rPr>
      </w:pPr>
      <w:r>
        <w:rPr>
          <w:rFonts w:cs="Arial" w:ascii="Arial" w:hAnsi="Arial"/>
          <w:b/>
          <w:color w:val="4F81BD"/>
          <w:sz w:val="16"/>
          <w:szCs w:val="16"/>
        </w:rPr>
      </w:r>
    </w:p>
    <w:p>
      <w:pPr>
        <w:pStyle w:val="Normal"/>
        <w:jc w:val="center"/>
        <w:rPr>
          <w:rFonts w:ascii="Calibri" w:hAnsi="Calibri"/>
          <w:b/>
          <w:b/>
          <w:bCs/>
          <w:color w:val="008080"/>
          <w:sz w:val="16"/>
          <w:szCs w:val="16"/>
        </w:rPr>
      </w:pPr>
      <w:r>
        <w:rPr>
          <w:rFonts w:ascii="Calibri" w:hAnsi="Calibri"/>
          <w:b/>
          <w:bCs/>
          <w:color w:val="008080"/>
          <w:sz w:val="16"/>
          <w:szCs w:val="16"/>
        </w:rPr>
      </w:r>
    </w:p>
    <w:p>
      <w:pPr>
        <w:pStyle w:val="Normal"/>
        <w:jc w:val="both"/>
        <w:rPr>
          <w:rFonts w:ascii="Calibri" w:hAnsi="Calibri" w:cs="Arial"/>
          <w:sz w:val="22"/>
        </w:rPr>
      </w:pPr>
      <w:r>
        <w:rPr>
          <w:rFonts w:cs="Arial" w:ascii="Calibri" w:hAnsi="Calibri"/>
          <w:sz w:val="22"/>
        </w:rPr>
        <w:t xml:space="preserve">La Direction des Services Techniques de la CCPM assure l’entretien de la totalité des voiries communales (360 km) sur les 21 communes de son territoire regroupant 42 000 habitants, participe et met en œuvre le programme d’investissement de la CCPM : création et gestion des ZAE, des équipements publics, du patrimoine bâti, des réseaux d’eau potable et d’assainissement. </w:t>
      </w:r>
    </w:p>
    <w:p>
      <w:pPr>
        <w:pStyle w:val="Normal"/>
        <w:tabs>
          <w:tab w:val="clear" w:pos="708"/>
          <w:tab w:val="left" w:pos="5580" w:leader="none"/>
        </w:tabs>
        <w:rPr>
          <w:rFonts w:ascii="Calibri" w:hAnsi="Calibri" w:asciiTheme="minorHAnsi" w:hAnsiTheme="minorHAnsi"/>
          <w:bCs/>
          <w:i/>
          <w:i/>
          <w:iCs/>
          <w:sz w:val="16"/>
          <w:szCs w:val="16"/>
          <w:u w:val="single"/>
        </w:rPr>
      </w:pPr>
      <w:r>
        <w:rPr>
          <w:rFonts w:asciiTheme="minorHAnsi" w:hAnsiTheme="minorHAnsi" w:ascii="Calibri" w:hAnsi="Calibri"/>
          <w:bCs/>
          <w:i/>
          <w:iCs/>
          <w:sz w:val="16"/>
          <w:szCs w:val="16"/>
          <w:u w:val="single"/>
        </w:rPr>
      </w:r>
    </w:p>
    <w:p>
      <w:pPr>
        <w:pStyle w:val="Normal"/>
        <w:tabs>
          <w:tab w:val="clear" w:pos="708"/>
          <w:tab w:val="left" w:pos="5580" w:leader="none"/>
        </w:tabs>
        <w:jc w:val="both"/>
        <w:rPr>
          <w:rFonts w:ascii="Calibri" w:hAnsi="Calibri"/>
          <w:bCs/>
          <w:iCs/>
        </w:rPr>
      </w:pPr>
      <w:r>
        <w:rPr>
          <w:rFonts w:ascii="Calibri" w:hAnsi="Calibri"/>
          <w:b/>
          <w:bCs/>
          <w:iCs/>
        </w:rPr>
        <w:t>Positionnement</w:t>
      </w:r>
      <w:r>
        <w:rPr>
          <w:rFonts w:ascii="Calibri" w:hAnsi="Calibri"/>
          <w:bCs/>
          <w:iCs/>
        </w:rPr>
        <w:t> :</w:t>
      </w:r>
    </w:p>
    <w:p>
      <w:pPr>
        <w:pStyle w:val="Normal"/>
        <w:tabs>
          <w:tab w:val="clear" w:pos="708"/>
          <w:tab w:val="left" w:pos="5580" w:leader="none"/>
        </w:tabs>
        <w:jc w:val="both"/>
        <w:rPr>
          <w:rFonts w:ascii="Calibri" w:hAnsi="Calibri" w:asciiTheme="minorHAnsi" w:hAnsiTheme="minorHAnsi"/>
          <w:bCs/>
          <w:iCs/>
          <w:sz w:val="22"/>
        </w:rPr>
      </w:pPr>
      <w:r>
        <w:rPr>
          <w:rFonts w:ascii="Calibri" w:hAnsi="Calibri" w:asciiTheme="minorHAnsi" w:hAnsiTheme="minorHAnsi"/>
          <w:bCs/>
          <w:iCs/>
          <w:sz w:val="22"/>
        </w:rPr>
        <w:t>Sous la responsabilité du Directeur des Services Techniques au sein d’une Direction composée d’un pôle études composé de 2 agents, d’un pôle exploitation/travaux neufs composé de 13 agents et d’un pôle administratif avec 2 assistantes. Un technicien SIG accompagne également le service.</w:t>
      </w:r>
    </w:p>
    <w:p>
      <w:pPr>
        <w:pStyle w:val="Normal"/>
        <w:rPr>
          <w:rFonts w:ascii="Calibri" w:hAnsi="Calibri"/>
          <w:bCs/>
          <w:iCs/>
          <w:sz w:val="16"/>
          <w:szCs w:val="16"/>
        </w:rPr>
      </w:pPr>
      <w:r>
        <w:rPr>
          <w:rFonts w:ascii="Calibri" w:hAnsi="Calibri"/>
          <w:bCs/>
          <w:iCs/>
          <w:sz w:val="16"/>
          <w:szCs w:val="16"/>
        </w:rPr>
      </w:r>
    </w:p>
    <w:p>
      <w:pPr>
        <w:pStyle w:val="Normal"/>
        <w:tabs>
          <w:tab w:val="clear" w:pos="708"/>
          <w:tab w:val="left" w:pos="5580" w:leader="none"/>
        </w:tabs>
        <w:rPr>
          <w:rFonts w:ascii="Calibri" w:hAnsi="Calibri"/>
          <w:iCs/>
          <w:sz w:val="22"/>
          <w:szCs w:val="22"/>
        </w:rPr>
      </w:pPr>
      <w:r>
        <w:rPr>
          <w:rFonts w:cs="Calibri" w:ascii="Calibri" w:hAnsi="Calibri" w:asciiTheme="minorHAnsi" w:cstheme="minorHAnsi" w:hAnsiTheme="minorHAnsi"/>
          <w:iCs/>
          <w:sz w:val="22"/>
          <w:szCs w:val="22"/>
        </w:rPr>
        <w:t>Vous managez le dessinateur/projeteur</w:t>
      </w:r>
      <w:r>
        <w:rPr>
          <w:rFonts w:ascii="Calibri" w:hAnsi="Calibri"/>
          <w:iCs/>
          <w:sz w:val="22"/>
          <w:szCs w:val="22"/>
        </w:rPr>
        <w:t xml:space="preserve"> et pilotez les projets d’investissement de l’EPCI (de la faisabilité à la notification du marché). Vous réalisez les études, élaborez les cartographies et plans des projets d’aménagement, de voirie, de liaisons douces… de l’esquisse au DCE.</w:t>
      </w:r>
    </w:p>
    <w:p>
      <w:pPr>
        <w:pStyle w:val="Normal"/>
        <w:tabs>
          <w:tab w:val="clear" w:pos="708"/>
          <w:tab w:val="left" w:pos="5580" w:leader="none"/>
        </w:tabs>
        <w:rPr>
          <w:rFonts w:ascii="Calibri" w:hAnsi="Calibri" w:cs="Arial"/>
          <w:iCs/>
          <w:sz w:val="22"/>
          <w:szCs w:val="22"/>
        </w:rPr>
      </w:pPr>
      <w:r>
        <w:rPr>
          <w:rFonts w:cs="Arial" w:ascii="Calibri" w:hAnsi="Calibri"/>
          <w:iCs/>
          <w:sz w:val="22"/>
          <w:szCs w:val="22"/>
        </w:rPr>
        <w:t>Vous assurez le suivi des études préalables (levers topographiques, études de sol, test HAP et amiante…), estimez les projets étudiés, suivez les maîtrises d’œuvre et les AMO.</w:t>
      </w:r>
    </w:p>
    <w:p>
      <w:pPr>
        <w:pStyle w:val="Normal"/>
        <w:rPr>
          <w:rFonts w:ascii="Calibri" w:hAnsi="Calibri" w:cs="Arial"/>
          <w:iCs/>
          <w:sz w:val="22"/>
          <w:szCs w:val="22"/>
        </w:rPr>
      </w:pPr>
      <w:r>
        <w:rPr>
          <w:rFonts w:cs="Arial" w:ascii="Calibri" w:hAnsi="Calibri"/>
          <w:iCs/>
          <w:sz w:val="22"/>
          <w:szCs w:val="22"/>
        </w:rPr>
        <w:t>Vous assurez le montage des marchés et l’analyse des offres, le m</w:t>
      </w:r>
      <w:r>
        <w:rPr>
          <w:rFonts w:ascii="Calibri" w:hAnsi="Calibri"/>
          <w:iCs/>
          <w:sz w:val="22"/>
          <w:szCs w:val="22"/>
        </w:rPr>
        <w:t>ontage et le suivi des dossiers de demandes de subventions ainsi que l’a</w:t>
      </w:r>
      <w:r>
        <w:rPr>
          <w:rFonts w:cs="Arial" w:ascii="Calibri" w:hAnsi="Calibri"/>
          <w:iCs/>
          <w:sz w:val="22"/>
          <w:szCs w:val="22"/>
        </w:rPr>
        <w:t>ccompagnement à l’élaboration de programmations pluriannuelles de travaux.</w:t>
      </w:r>
    </w:p>
    <w:p>
      <w:pPr>
        <w:pStyle w:val="Normal"/>
        <w:rPr>
          <w:rFonts w:ascii="Calibri" w:hAnsi="Calibri" w:cs="Arial"/>
          <w:iCs/>
          <w:sz w:val="22"/>
          <w:szCs w:val="22"/>
        </w:rPr>
      </w:pPr>
      <w:r>
        <w:rPr>
          <w:rFonts w:cs="Arial" w:ascii="Calibri" w:hAnsi="Calibri"/>
          <w:iCs/>
          <w:sz w:val="22"/>
          <w:szCs w:val="22"/>
        </w:rPr>
      </w:r>
    </w:p>
    <w:p>
      <w:pPr>
        <w:pStyle w:val="Normal"/>
        <w:rPr>
          <w:rFonts w:ascii="Calibri" w:hAnsi="Calibri"/>
          <w:sz w:val="22"/>
          <w:szCs w:val="22"/>
        </w:rPr>
      </w:pPr>
      <w:r>
        <w:rPr>
          <w:rFonts w:cs="Arial" w:ascii="Calibri" w:hAnsi="Calibri"/>
          <w:iCs/>
          <w:sz w:val="22"/>
          <w:szCs w:val="22"/>
        </w:rPr>
        <w:t xml:space="preserve">Vous maîtrisez </w:t>
      </w:r>
      <w:r>
        <w:rPr>
          <w:rFonts w:ascii="Calibri" w:hAnsi="Calibri"/>
          <w:sz w:val="22"/>
          <w:szCs w:val="22"/>
        </w:rPr>
        <w:t>les règles de l’art en voirie et réseaux divers, le relevé de terrain (superficie et nivellement) et connaissez les marchés publics et le patrimoine bâti.</w:t>
      </w:r>
    </w:p>
    <w:p>
      <w:pPr>
        <w:pStyle w:val="Normal"/>
        <w:rPr>
          <w:rFonts w:ascii="Calibri" w:hAnsi="Calibri"/>
          <w:sz w:val="22"/>
          <w:szCs w:val="22"/>
        </w:rPr>
      </w:pPr>
      <w:r>
        <w:rPr>
          <w:rFonts w:ascii="Calibri" w:hAnsi="Calibri"/>
          <w:sz w:val="22"/>
          <w:szCs w:val="22"/>
        </w:rPr>
        <w:t>Une expérience similaire en collectivité est appréciée.</w:t>
      </w:r>
    </w:p>
    <w:p>
      <w:pPr>
        <w:pStyle w:val="Normal"/>
        <w:rPr>
          <w:rFonts w:ascii="Calibri" w:hAnsi="Calibri"/>
          <w:sz w:val="22"/>
          <w:szCs w:val="22"/>
        </w:rPr>
      </w:pPr>
      <w:r>
        <w:rPr>
          <w:rFonts w:ascii="Calibri" w:hAnsi="Calibri"/>
          <w:sz w:val="22"/>
          <w:szCs w:val="22"/>
        </w:rPr>
        <w:t>Vous pratiquez les logiciels de bureautique (Packoffice) et professionnels (Autocad et Covadis).</w:t>
      </w:r>
    </w:p>
    <w:p>
      <w:pPr>
        <w:pStyle w:val="Normal"/>
        <w:rPr>
          <w:rFonts w:ascii="Calibri" w:hAnsi="Calibri"/>
          <w:sz w:val="22"/>
          <w:szCs w:val="22"/>
        </w:rPr>
      </w:pPr>
      <w:r>
        <w:rPr>
          <w:rFonts w:ascii="Calibri" w:hAnsi="Calibri"/>
          <w:sz w:val="22"/>
          <w:szCs w:val="22"/>
        </w:rPr>
        <w:t>Vos qualités d’écoute, d’organisation, de rigueur et relationnelles ne sont plus à démontrer.</w:t>
      </w:r>
    </w:p>
    <w:p>
      <w:pPr>
        <w:pStyle w:val="Normal"/>
        <w:rPr>
          <w:rFonts w:ascii="Calibri" w:hAnsi="Calibri"/>
          <w:sz w:val="22"/>
          <w:szCs w:val="22"/>
        </w:rPr>
      </w:pPr>
      <w:r>
        <w:rPr>
          <w:rFonts w:ascii="Calibri" w:hAnsi="Calibri"/>
          <w:sz w:val="22"/>
          <w:szCs w:val="22"/>
        </w:rPr>
        <w:t>Vous êtes apte à vous intégrer dans une équipe constituée.</w:t>
      </w:r>
    </w:p>
    <w:p>
      <w:pPr>
        <w:pStyle w:val="Normal"/>
        <w:rPr>
          <w:rFonts w:ascii="Calibri" w:hAnsi="Calibri" w:cs="Arial"/>
          <w:iCs/>
          <w:sz w:val="22"/>
          <w:szCs w:val="22"/>
        </w:rPr>
      </w:pPr>
      <w:r>
        <w:rPr>
          <w:rFonts w:cs="Arial" w:ascii="Calibri" w:hAnsi="Calibri"/>
          <w:iCs/>
          <w:sz w:val="22"/>
          <w:szCs w:val="22"/>
        </w:rPr>
      </w:r>
    </w:p>
    <w:p>
      <w:pPr>
        <w:pStyle w:val="Normal"/>
        <w:rPr>
          <w:rFonts w:ascii="Calibri" w:hAnsi="Calibri"/>
          <w:bCs/>
          <w:iCs/>
          <w:sz w:val="22"/>
          <w:szCs w:val="22"/>
        </w:rPr>
      </w:pPr>
      <w:r>
        <w:rPr>
          <w:rFonts w:ascii="Calibri" w:hAnsi="Calibri"/>
          <w:b/>
          <w:bCs/>
          <w:iCs/>
          <w:sz w:val="22"/>
          <w:szCs w:val="22"/>
        </w:rPr>
        <w:t>Rémunération</w:t>
      </w:r>
      <w:r>
        <w:rPr>
          <w:rFonts w:ascii="Calibri" w:hAnsi="Calibri"/>
          <w:bCs/>
          <w:iCs/>
          <w:sz w:val="22"/>
          <w:szCs w:val="22"/>
        </w:rPr>
        <w:t> : statutaire + Régime Indemnitaire</w:t>
      </w:r>
    </w:p>
    <w:p>
      <w:pPr>
        <w:pStyle w:val="Normal"/>
        <w:rPr>
          <w:rFonts w:ascii="Calibri" w:hAnsi="Calibri"/>
          <w:bCs/>
          <w:iCs/>
        </w:rPr>
      </w:pPr>
      <w:r>
        <w:rPr>
          <w:rFonts w:ascii="Calibri" w:hAnsi="Calibri"/>
          <w:bCs/>
          <w:iCs/>
        </w:rPr>
      </w:r>
    </w:p>
    <w:p>
      <w:pPr>
        <w:pStyle w:val="Normal"/>
        <w:jc w:val="both"/>
        <w:rPr>
          <w:rFonts w:ascii="Calibri" w:hAnsi="Calibri" w:cs="Calibri" w:asciiTheme="minorHAnsi" w:cstheme="minorHAnsi" w:hAnsiTheme="minorHAnsi"/>
          <w:bCs/>
          <w:iCs/>
          <w:sz w:val="22"/>
          <w:szCs w:val="22"/>
        </w:rPr>
      </w:pPr>
      <w:r>
        <w:rPr>
          <w:rFonts w:ascii="Calibri" w:hAnsi="Calibri"/>
          <w:b/>
          <w:bCs/>
          <w:iCs/>
        </w:rPr>
        <w:t>Atouts </w:t>
      </w:r>
      <w:r>
        <w:rPr>
          <w:rFonts w:cs="Calibri" w:ascii="Calibri" w:hAnsi="Calibri" w:asciiTheme="minorHAnsi" w:cstheme="minorHAnsi" w:hAnsiTheme="minorHAnsi"/>
          <w:b/>
          <w:bCs/>
          <w:iCs/>
          <w:sz w:val="22"/>
          <w:szCs w:val="22"/>
        </w:rPr>
        <w:t>:</w:t>
      </w:r>
      <w:r>
        <w:rPr>
          <w:rFonts w:cs="Calibri" w:ascii="Calibri" w:hAnsi="Calibri" w:asciiTheme="minorHAnsi" w:cstheme="minorHAnsi" w:hAnsiTheme="minorHAnsi"/>
          <w:bCs/>
          <w:iCs/>
          <w:sz w:val="22"/>
          <w:szCs w:val="22"/>
        </w:rPr>
        <w:t xml:space="preserve"> horaires hebdomadaires variables de 38 h sur 5 jours, télétravail, CNAS, Amicale du Personnel, tickets restaurants, chèques vacances, ateliers bien-être au travail, participation employeur à la protection sociale (mutuelle et prévoyance) et au NAVIGO.  </w:t>
      </w:r>
    </w:p>
    <w:p>
      <w:pPr>
        <w:pStyle w:val="Normal"/>
        <w:tabs>
          <w:tab w:val="clear" w:pos="708"/>
          <w:tab w:val="left" w:pos="3420" w:leader="none"/>
        </w:tabs>
        <w:rPr>
          <w:rFonts w:ascii="Calibri" w:hAnsi="Calibri"/>
          <w:bCs/>
          <w:iCs/>
          <w:sz w:val="16"/>
          <w:szCs w:val="16"/>
        </w:rPr>
      </w:pPr>
      <w:r>
        <w:rPr>
          <w:rFonts w:ascii="Calibri" w:hAnsi="Calibri"/>
          <w:bCs/>
          <w:iCs/>
          <w:sz w:val="16"/>
          <w:szCs w:val="16"/>
        </w:rPr>
      </w:r>
    </w:p>
    <w:p>
      <w:pPr>
        <w:pStyle w:val="Normal"/>
        <w:jc w:val="center"/>
        <w:rPr>
          <w:rFonts w:ascii="Calibri" w:hAnsi="Calibri"/>
        </w:rPr>
      </w:pPr>
      <w:r>
        <w:rPr>
          <w:rFonts w:ascii="Calibri" w:hAnsi="Calibri"/>
        </w:rPr>
      </w:r>
    </w:p>
    <w:p>
      <w:pPr>
        <w:pStyle w:val="Normal"/>
        <w:pBdr>
          <w:top w:val="single" w:sz="4" w:space="0" w:color="000000"/>
          <w:left w:val="single" w:sz="4" w:space="4" w:color="000000"/>
          <w:bottom w:val="single" w:sz="4" w:space="1" w:color="000000"/>
          <w:right w:val="single" w:sz="4" w:space="4" w:color="000000"/>
        </w:pBdr>
        <w:jc w:val="center"/>
        <w:rPr>
          <w:rFonts w:ascii="Calibri" w:hAnsi="Calibri"/>
          <w:sz w:val="22"/>
          <w:szCs w:val="22"/>
        </w:rPr>
      </w:pPr>
      <w:r>
        <w:rPr>
          <w:rFonts w:ascii="Calibri" w:hAnsi="Calibri"/>
          <w:sz w:val="22"/>
          <w:szCs w:val="22"/>
        </w:rPr>
        <w:t xml:space="preserve">Merci de faire parvenir votre candidature </w:t>
      </w:r>
    </w:p>
    <w:p>
      <w:pPr>
        <w:pStyle w:val="Normal"/>
        <w:pBdr>
          <w:top w:val="single" w:sz="4" w:space="0" w:color="000000"/>
          <w:left w:val="single" w:sz="4" w:space="4" w:color="000000"/>
          <w:bottom w:val="single" w:sz="4" w:space="1" w:color="000000"/>
          <w:right w:val="single" w:sz="4" w:space="4" w:color="000000"/>
        </w:pBdr>
        <w:jc w:val="center"/>
        <w:rPr>
          <w:rFonts w:ascii="Calibri" w:hAnsi="Calibri"/>
          <w:sz w:val="22"/>
          <w:szCs w:val="22"/>
        </w:rPr>
      </w:pPr>
      <w:r>
        <w:rPr>
          <w:rFonts w:ascii="Calibri" w:hAnsi="Calibri"/>
          <w:sz w:val="22"/>
          <w:szCs w:val="22"/>
        </w:rPr>
        <w:t xml:space="preserve">par courrier à Monsieur le Président, Communauté de Communes du Pays de Montereau – 29 avenue du Général de Gaulle - 77130 Montereau-Fault-Yonne </w:t>
      </w:r>
    </w:p>
    <w:p>
      <w:pPr>
        <w:pStyle w:val="Normal"/>
        <w:pBdr>
          <w:top w:val="single" w:sz="4" w:space="0" w:color="000000"/>
          <w:left w:val="single" w:sz="4" w:space="4" w:color="000000"/>
          <w:bottom w:val="single" w:sz="4" w:space="1" w:color="000000"/>
          <w:right w:val="single" w:sz="4" w:space="4" w:color="000000"/>
        </w:pBdr>
        <w:jc w:val="center"/>
        <w:rPr>
          <w:rStyle w:val="LienInternet"/>
          <w:rFonts w:ascii="Calibri" w:hAnsi="Calibri"/>
          <w:bCs/>
          <w:iCs/>
          <w:sz w:val="22"/>
          <w:szCs w:val="22"/>
        </w:rPr>
      </w:pPr>
      <w:r>
        <w:rPr>
          <w:rFonts w:ascii="Calibri" w:hAnsi="Calibri"/>
          <w:bCs/>
          <w:iCs/>
          <w:sz w:val="22"/>
          <w:szCs w:val="22"/>
          <w:highlight w:val="lightGray"/>
        </w:rPr>
        <w:t xml:space="preserve">Ou par mail à : </w:t>
      </w:r>
      <w:hyperlink r:id="rId3">
        <w:r>
          <w:rPr>
            <w:rStyle w:val="LienInternet"/>
            <w:rFonts w:ascii="Calibri" w:hAnsi="Calibri"/>
            <w:bCs/>
            <w:iCs/>
            <w:sz w:val="22"/>
            <w:szCs w:val="22"/>
            <w:highlight w:val="lightGray"/>
          </w:rPr>
          <w:t>servicerh@paysdemontereau.fr</w:t>
        </w:r>
      </w:hyperlink>
    </w:p>
    <w:p>
      <w:pPr>
        <w:pStyle w:val="Normal"/>
        <w:rPr>
          <w:rFonts w:ascii="Calibri" w:hAnsi="Calibri"/>
        </w:rPr>
      </w:pPr>
      <w:r>
        <w:rPr/>
      </w:r>
    </w:p>
    <w:sectPr>
      <w:type w:val="nextPage"/>
      <w:pgSz w:w="11906" w:h="16838"/>
      <w:pgMar w:left="1418" w:right="1418" w:gutter="0" w:header="0" w:top="360" w:footer="0" w:bottom="3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Rockwell">
    <w:charset w:val="00"/>
    <w:family w:val="roman"/>
    <w:pitch w:val="variable"/>
  </w:font>
  <w:font w:name="Comic Sans MS">
    <w:charset w:val="00"/>
    <w:family w:val="roman"/>
    <w:pitch w:val="variable"/>
  </w:font>
  <w:font w:name="Yearbook Outline">
    <w:charset w:val="00"/>
    <w:family w:val="roman"/>
    <w:pitch w:val="variable"/>
  </w:font>
  <w:font w:name="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uiPriority w:val="99"/>
    <w:unhideWhenUsed/>
    <w:rsid w:val="00e65769"/>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alloonText">
    <w:name w:val="Balloon Text"/>
    <w:basedOn w:val="Normal"/>
    <w:semiHidden/>
    <w:qFormat/>
    <w:rsid w:val="00f0549a"/>
    <w:pPr/>
    <w:rPr>
      <w:rFonts w:ascii="Tahoma" w:hAnsi="Tahoma" w:cs="Tahoma"/>
      <w:sz w:val="16"/>
      <w:szCs w:val="16"/>
    </w:rPr>
  </w:style>
  <w:style w:type="paragraph" w:styleId="Msotagline" w:customStyle="1">
    <w:name w:val="msotagline"/>
    <w:qFormat/>
    <w:rsid w:val="00773d47"/>
    <w:pPr>
      <w:widowControl/>
      <w:bidi w:val="0"/>
      <w:spacing w:before="0" w:after="0"/>
      <w:jc w:val="left"/>
    </w:pPr>
    <w:rPr>
      <w:rFonts w:ascii="Rockwell" w:hAnsi="Rockwell" w:eastAsia="Times New Roman" w:cs="Times New Roman"/>
      <w:color w:val="6666CC"/>
      <w:kern w:val="2"/>
      <w:sz w:val="20"/>
      <w:szCs w:val="20"/>
      <w:lang w:val="fr-FR" w:eastAsia="fr-FR" w:bidi="ar-SA"/>
    </w:rPr>
  </w:style>
  <w:style w:type="paragraph" w:styleId="ListParagraph">
    <w:name w:val="List Paragraph"/>
    <w:basedOn w:val="Normal"/>
    <w:uiPriority w:val="34"/>
    <w:qFormat/>
    <w:rsid w:val="00e65769"/>
    <w:pPr>
      <w:spacing w:lineRule="auto" w:line="276" w:before="0" w:after="200"/>
      <w:ind w:left="720" w:hanging="0"/>
      <w:contextualSpacing/>
    </w:pPr>
    <w:rPr>
      <w:rFonts w:ascii="Comic Sans MS" w:hAnsi="Comic Sans MS" w:eastAsia="Calibri"/>
      <w:szCs w:val="22"/>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280e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ervicerh@paysdemontereau.f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LibreOffice/7.3.4.2$Windows_X86_64 LibreOffice_project/728fec16bd5f605073805c3c9e7c4212a0120dc5</Application>
  <AppVersion>15.0000</AppVersion>
  <Pages>1</Pages>
  <Words>441</Words>
  <Characters>2529</Characters>
  <CharactersWithSpaces>2959</CharactersWithSpaces>
  <Paragraphs>22</Paragraphs>
  <Company>COM 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2023-02-07T17:02:00Z</dcterms:created>
  <dc:creator>Poste2</dc:creator>
  <dc:description/>
  <dc:language>fr-FR</dc:language>
  <cp:lastModifiedBy/>
  <cp:lastPrinted>2018-07-31T12:56:00Z</cp:lastPrinted>
  <dcterms:modified xsi:type="dcterms:W3CDTF">2023-02-15T11:11:39Z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